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F9028">
      <w:pPr>
        <w:pageBreakBefore w:val="0"/>
        <w:tabs>
          <w:tab w:val="left" w:pos="315"/>
          <w:tab w:val="left" w:pos="8820"/>
        </w:tabs>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52"/>
          <w:szCs w:val="52"/>
          <w:highlight w:val="none"/>
        </w:rPr>
      </w:pPr>
    </w:p>
    <w:p w14:paraId="228011D3">
      <w:pPr>
        <w:pStyle w:val="5"/>
        <w:pageBreakBefore w:val="0"/>
        <w:kinsoku/>
        <w:overflowPunct/>
        <w:topLinePunct w:val="0"/>
        <w:bidi w:val="0"/>
        <w:spacing w:line="360" w:lineRule="auto"/>
        <w:textAlignment w:val="auto"/>
        <w:rPr>
          <w:rFonts w:hint="eastAsia" w:asciiTheme="minorEastAsia" w:hAnsiTheme="minorEastAsia" w:eastAsiaTheme="minorEastAsia" w:cstheme="minorEastAsia"/>
          <w:color w:val="auto"/>
          <w:highlight w:val="none"/>
        </w:rPr>
      </w:pPr>
    </w:p>
    <w:p w14:paraId="6A650165">
      <w:pPr>
        <w:keepNext w:val="0"/>
        <w:keepLines w:val="0"/>
        <w:pageBreakBefore w:val="0"/>
        <w:widowControl w:val="0"/>
        <w:tabs>
          <w:tab w:val="left" w:pos="315"/>
          <w:tab w:val="left" w:pos="8820"/>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b/>
          <w:bCs/>
          <w:color w:val="auto"/>
          <w:sz w:val="52"/>
          <w:szCs w:val="52"/>
          <w:highlight w:val="none"/>
          <w:lang w:val="en-US" w:eastAsia="zh-CN"/>
        </w:rPr>
      </w:pPr>
      <w:bookmarkStart w:id="0" w:name="_Hlk9544796"/>
      <w:bookmarkStart w:id="1" w:name="_Toc10724"/>
      <w:bookmarkStart w:id="2" w:name="_Toc4459"/>
      <w:r>
        <w:rPr>
          <w:rFonts w:hint="eastAsia" w:asciiTheme="minorEastAsia" w:hAnsiTheme="minorEastAsia" w:eastAsiaTheme="minorEastAsia" w:cstheme="minorEastAsia"/>
          <w:b/>
          <w:bCs/>
          <w:color w:val="auto"/>
          <w:sz w:val="52"/>
          <w:szCs w:val="52"/>
          <w:highlight w:val="none"/>
          <w:lang w:val="en-US" w:eastAsia="zh-CN"/>
        </w:rPr>
        <w:t>公开招标文件</w:t>
      </w:r>
      <w:bookmarkEnd w:id="0"/>
      <w:r>
        <w:rPr>
          <w:rFonts w:hint="eastAsia" w:asciiTheme="minorEastAsia" w:hAnsiTheme="minorEastAsia" w:eastAsiaTheme="minorEastAsia" w:cstheme="minorEastAsia"/>
          <w:b/>
          <w:bCs/>
          <w:color w:val="auto"/>
          <w:sz w:val="52"/>
          <w:szCs w:val="52"/>
          <w:highlight w:val="none"/>
          <w:lang w:val="en-US" w:eastAsia="zh-CN"/>
        </w:rPr>
        <w:t>（服务类）</w:t>
      </w:r>
      <w:bookmarkEnd w:id="1"/>
      <w:bookmarkEnd w:id="2"/>
    </w:p>
    <w:p w14:paraId="6C946E98">
      <w:pPr>
        <w:keepNext w:val="0"/>
        <w:keepLines w:val="0"/>
        <w:pageBreakBefore w:val="0"/>
        <w:widowControl w:val="0"/>
        <w:tabs>
          <w:tab w:val="left" w:pos="315"/>
          <w:tab w:val="left" w:pos="8820"/>
        </w:tabs>
        <w:kinsoku/>
        <w:wordWrap/>
        <w:overflowPunct/>
        <w:topLinePunct w:val="0"/>
        <w:autoSpaceDE/>
        <w:autoSpaceDN/>
        <w:bidi w:val="0"/>
        <w:adjustRightInd/>
        <w:snapToGrid/>
        <w:spacing w:line="360" w:lineRule="auto"/>
        <w:ind w:left="0" w:leftChars="0" w:right="0" w:rightChars="0"/>
        <w:jc w:val="center"/>
        <w:textAlignment w:val="auto"/>
        <w:outlineLvl w:val="9"/>
        <w:rPr>
          <w:rFonts w:hint="eastAsia" w:asciiTheme="minorEastAsia" w:hAnsiTheme="minorEastAsia" w:eastAsiaTheme="minorEastAsia" w:cstheme="minorEastAsia"/>
          <w:b/>
          <w:bCs/>
          <w:color w:val="auto"/>
          <w:sz w:val="52"/>
          <w:szCs w:val="52"/>
          <w:highlight w:val="none"/>
          <w:lang w:val="en-US" w:eastAsia="zh-CN"/>
        </w:rPr>
      </w:pPr>
      <w:r>
        <w:rPr>
          <w:rFonts w:hint="eastAsia" w:asciiTheme="minorEastAsia" w:hAnsiTheme="minorEastAsia" w:eastAsiaTheme="minorEastAsia" w:cstheme="minorEastAsia"/>
          <w:b/>
          <w:bCs/>
          <w:color w:val="auto"/>
          <w:sz w:val="52"/>
          <w:szCs w:val="52"/>
          <w:highlight w:val="none"/>
          <w:lang w:val="en-US" w:eastAsia="zh-CN"/>
        </w:rPr>
        <w:t>（2026版）</w:t>
      </w:r>
    </w:p>
    <w:p w14:paraId="22A889EE">
      <w:pPr>
        <w:pageBreakBefore w:val="0"/>
        <w:tabs>
          <w:tab w:val="left" w:pos="315"/>
          <w:tab w:val="left" w:pos="8820"/>
        </w:tabs>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32"/>
          <w:szCs w:val="32"/>
          <w:highlight w:val="none"/>
        </w:rPr>
      </w:pPr>
    </w:p>
    <w:p w14:paraId="3F55F5A6">
      <w:pPr>
        <w:pageBreakBefore w:val="0"/>
        <w:tabs>
          <w:tab w:val="left" w:pos="315"/>
          <w:tab w:val="left" w:pos="8820"/>
        </w:tabs>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32"/>
          <w:szCs w:val="32"/>
          <w:highlight w:val="none"/>
        </w:rPr>
      </w:pPr>
    </w:p>
    <w:p w14:paraId="34005B01">
      <w:pPr>
        <w:pageBreakBefore w:val="0"/>
        <w:tabs>
          <w:tab w:val="left" w:pos="315"/>
          <w:tab w:val="left" w:pos="8820"/>
        </w:tabs>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32"/>
          <w:szCs w:val="32"/>
          <w:highlight w:val="none"/>
        </w:rPr>
      </w:pPr>
    </w:p>
    <w:p w14:paraId="6E13887D">
      <w:pPr>
        <w:pageBreakBefore w:val="0"/>
        <w:tabs>
          <w:tab w:val="left" w:pos="315"/>
          <w:tab w:val="left" w:pos="8820"/>
        </w:tabs>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32"/>
          <w:szCs w:val="32"/>
          <w:highlight w:val="none"/>
        </w:rPr>
      </w:pPr>
    </w:p>
    <w:p w14:paraId="1E4DE853">
      <w:pPr>
        <w:pageBreakBefore w:val="0"/>
        <w:tabs>
          <w:tab w:val="left" w:pos="315"/>
          <w:tab w:val="left" w:pos="8820"/>
        </w:tabs>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32"/>
          <w:szCs w:val="32"/>
          <w:highlight w:val="none"/>
        </w:rPr>
      </w:pPr>
    </w:p>
    <w:p w14:paraId="7AB3F839">
      <w:pPr>
        <w:pageBreakBefore w:val="0"/>
        <w:tabs>
          <w:tab w:val="left" w:pos="315"/>
          <w:tab w:val="left" w:pos="8820"/>
        </w:tabs>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32"/>
          <w:szCs w:val="32"/>
          <w:highlight w:val="none"/>
        </w:rPr>
      </w:pPr>
    </w:p>
    <w:p w14:paraId="34BE382B">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b/>
          <w:bCs/>
          <w:color w:val="auto"/>
          <w:sz w:val="32"/>
          <w:szCs w:val="32"/>
          <w:highlight w:val="none"/>
        </w:rPr>
      </w:pPr>
    </w:p>
    <w:p w14:paraId="0801155A">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b/>
          <w:bCs/>
          <w:color w:val="auto"/>
          <w:sz w:val="32"/>
          <w:szCs w:val="32"/>
          <w:highlight w:val="none"/>
        </w:rPr>
      </w:pPr>
    </w:p>
    <w:p w14:paraId="148B91D7">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b/>
          <w:bCs/>
          <w:color w:val="auto"/>
          <w:sz w:val="32"/>
          <w:szCs w:val="32"/>
          <w:highlight w:val="none"/>
        </w:rPr>
      </w:pPr>
    </w:p>
    <w:p w14:paraId="5BD16BB8">
      <w:pPr>
        <w:pageBreakBefore w:val="0"/>
        <w:tabs>
          <w:tab w:val="left" w:pos="2410"/>
        </w:tabs>
        <w:kinsoku/>
        <w:overflowPunct/>
        <w:topLinePunct w:val="0"/>
        <w:autoSpaceDE w:val="0"/>
        <w:autoSpaceDN w:val="0"/>
        <w:bidi w:val="0"/>
        <w:adjustRightInd w:val="0"/>
        <w:snapToGrid w:val="0"/>
        <w:spacing w:line="360" w:lineRule="auto"/>
        <w:ind w:right="0" w:rightChars="0"/>
        <w:textAlignment w:val="auto"/>
        <w:rPr>
          <w:rFonts w:hint="eastAsia" w:asciiTheme="minorEastAsia" w:hAnsiTheme="minorEastAsia" w:eastAsiaTheme="minorEastAsia" w:cstheme="minorEastAsia"/>
          <w:b/>
          <w:color w:val="auto"/>
          <w:spacing w:val="20"/>
          <w:kern w:val="0"/>
          <w:sz w:val="32"/>
          <w:szCs w:val="32"/>
          <w:highlight w:val="none"/>
          <w:lang w:val="en-US" w:eastAsia="zh-CN"/>
        </w:rPr>
      </w:pPr>
      <w:r>
        <w:rPr>
          <w:rFonts w:hint="eastAsia" w:asciiTheme="minorEastAsia" w:hAnsiTheme="minorEastAsia" w:eastAsiaTheme="minorEastAsia" w:cstheme="minorEastAsia"/>
          <w:b/>
          <w:color w:val="auto"/>
          <w:spacing w:val="20"/>
          <w:kern w:val="0"/>
          <w:sz w:val="32"/>
          <w:szCs w:val="32"/>
          <w:highlight w:val="none"/>
        </w:rPr>
        <w:t>项目名称：</w:t>
      </w:r>
      <w:r>
        <w:rPr>
          <w:rFonts w:hint="eastAsia" w:ascii="宋体" w:hAnsi="宋体" w:eastAsia="宋体" w:cs="宋体"/>
          <w:b/>
          <w:spacing w:val="20"/>
          <w:kern w:val="0"/>
          <w:sz w:val="32"/>
          <w:szCs w:val="32"/>
          <w:u w:val="single"/>
        </w:rPr>
        <w:t>港利上城国际物业服务采购项目</w:t>
      </w:r>
    </w:p>
    <w:p w14:paraId="123AE28A">
      <w:pPr>
        <w:pageBreakBefore w:val="0"/>
        <w:tabs>
          <w:tab w:val="left" w:pos="2410"/>
        </w:tabs>
        <w:kinsoku/>
        <w:overflowPunct/>
        <w:topLinePunct w:val="0"/>
        <w:autoSpaceDE w:val="0"/>
        <w:autoSpaceDN w:val="0"/>
        <w:bidi w:val="0"/>
        <w:adjustRightInd w:val="0"/>
        <w:snapToGrid w:val="0"/>
        <w:spacing w:line="360" w:lineRule="auto"/>
        <w:ind w:right="0" w:rightChars="0"/>
        <w:textAlignment w:val="auto"/>
        <w:rPr>
          <w:rFonts w:hint="eastAsia" w:asciiTheme="minorEastAsia" w:hAnsiTheme="minorEastAsia" w:eastAsiaTheme="minorEastAsia" w:cstheme="minorEastAsia"/>
          <w:b/>
          <w:color w:val="auto"/>
          <w:spacing w:val="20"/>
          <w:kern w:val="0"/>
          <w:sz w:val="32"/>
          <w:szCs w:val="32"/>
          <w:highlight w:val="none"/>
          <w:lang w:val="en-US"/>
        </w:rPr>
      </w:pPr>
      <w:r>
        <w:rPr>
          <w:rFonts w:hint="eastAsia" w:asciiTheme="minorEastAsia" w:hAnsiTheme="minorEastAsia" w:eastAsiaTheme="minorEastAsia" w:cstheme="minorEastAsia"/>
          <w:b/>
          <w:color w:val="auto"/>
          <w:spacing w:val="20"/>
          <w:kern w:val="0"/>
          <w:sz w:val="32"/>
          <w:szCs w:val="32"/>
          <w:highlight w:val="none"/>
        </w:rPr>
        <w:t>项目编号：</w:t>
      </w:r>
      <w:r>
        <w:rPr>
          <w:rFonts w:hint="eastAsia" w:ascii="宋体" w:hAnsi="宋体" w:eastAsia="宋体" w:cs="宋体"/>
          <w:b/>
          <w:spacing w:val="20"/>
          <w:kern w:val="0"/>
          <w:sz w:val="32"/>
          <w:szCs w:val="32"/>
          <w:u w:val="single"/>
        </w:rPr>
        <w:t>STJT-2026</w:t>
      </w:r>
      <w:r>
        <w:rPr>
          <w:rFonts w:hint="eastAsia" w:ascii="宋体" w:hAnsi="宋体" w:eastAsia="宋体" w:cs="宋体"/>
          <w:b/>
          <w:spacing w:val="20"/>
          <w:kern w:val="0"/>
          <w:sz w:val="32"/>
          <w:szCs w:val="32"/>
          <w:u w:val="single"/>
          <w:lang w:val="en-US" w:eastAsia="zh-CN"/>
        </w:rPr>
        <w:t>FY</w:t>
      </w:r>
      <w:r>
        <w:rPr>
          <w:rFonts w:hint="eastAsia" w:ascii="宋体" w:hAnsi="宋体" w:eastAsia="宋体" w:cs="宋体"/>
          <w:b/>
          <w:spacing w:val="20"/>
          <w:kern w:val="0"/>
          <w:sz w:val="32"/>
          <w:szCs w:val="32"/>
          <w:u w:val="single"/>
        </w:rPr>
        <w:t>071</w:t>
      </w:r>
      <w:r>
        <w:rPr>
          <w:rFonts w:hint="eastAsia" w:ascii="宋体" w:hAnsi="宋体" w:eastAsia="宋体" w:cs="宋体"/>
          <w:b/>
          <w:spacing w:val="20"/>
          <w:kern w:val="0"/>
          <w:sz w:val="32"/>
          <w:szCs w:val="32"/>
          <w:u w:val="single"/>
          <w:lang w:val="en-US" w:eastAsia="zh-CN"/>
        </w:rPr>
        <w:t>5</w:t>
      </w:r>
    </w:p>
    <w:p w14:paraId="5713A739">
      <w:pPr>
        <w:pageBreakBefore w:val="0"/>
        <w:tabs>
          <w:tab w:val="left" w:pos="2410"/>
        </w:tabs>
        <w:kinsoku/>
        <w:overflowPunct/>
        <w:topLinePunct w:val="0"/>
        <w:autoSpaceDE w:val="0"/>
        <w:autoSpaceDN w:val="0"/>
        <w:bidi w:val="0"/>
        <w:adjustRightInd w:val="0"/>
        <w:snapToGrid w:val="0"/>
        <w:spacing w:line="360" w:lineRule="auto"/>
        <w:ind w:right="0" w:rightChars="0"/>
        <w:textAlignment w:val="auto"/>
        <w:rPr>
          <w:rFonts w:hint="eastAsia" w:asciiTheme="minorEastAsia" w:hAnsiTheme="minorEastAsia" w:eastAsiaTheme="minorEastAsia" w:cstheme="minorEastAsia"/>
          <w:b/>
          <w:color w:val="auto"/>
          <w:spacing w:val="20"/>
          <w:kern w:val="0"/>
          <w:sz w:val="32"/>
          <w:szCs w:val="32"/>
          <w:highlight w:val="none"/>
          <w:lang w:val="en-US"/>
        </w:rPr>
      </w:pPr>
      <w:r>
        <w:rPr>
          <w:rFonts w:hint="eastAsia" w:asciiTheme="minorEastAsia" w:hAnsiTheme="minorEastAsia" w:eastAsiaTheme="minorEastAsia" w:cstheme="minorEastAsia"/>
          <w:b/>
          <w:color w:val="auto"/>
          <w:spacing w:val="20"/>
          <w:kern w:val="0"/>
          <w:sz w:val="32"/>
          <w:szCs w:val="32"/>
          <w:highlight w:val="none"/>
        </w:rPr>
        <w:t>采购人</w:t>
      </w:r>
      <w:r>
        <w:rPr>
          <w:rFonts w:hint="eastAsia" w:asciiTheme="minorEastAsia" w:hAnsiTheme="minorEastAsia" w:eastAsiaTheme="minorEastAsia" w:cstheme="minorEastAsia"/>
          <w:b/>
          <w:color w:val="auto"/>
          <w:spacing w:val="20"/>
          <w:kern w:val="0"/>
          <w:sz w:val="32"/>
          <w:szCs w:val="32"/>
          <w:highlight w:val="none"/>
          <w:lang w:eastAsia="zh-CN"/>
        </w:rPr>
        <w:t>（</w:t>
      </w:r>
      <w:r>
        <w:rPr>
          <w:rFonts w:hint="eastAsia" w:asciiTheme="minorEastAsia" w:hAnsiTheme="minorEastAsia" w:eastAsiaTheme="minorEastAsia" w:cstheme="minorEastAsia"/>
          <w:b/>
          <w:color w:val="auto"/>
          <w:spacing w:val="20"/>
          <w:kern w:val="0"/>
          <w:sz w:val="32"/>
          <w:szCs w:val="32"/>
          <w:highlight w:val="none"/>
          <w:lang w:val="en-US" w:eastAsia="zh-CN"/>
        </w:rPr>
        <w:t>加盖公章</w:t>
      </w:r>
      <w:r>
        <w:rPr>
          <w:rFonts w:hint="eastAsia" w:asciiTheme="minorEastAsia" w:hAnsiTheme="minorEastAsia" w:eastAsiaTheme="minorEastAsia" w:cstheme="minorEastAsia"/>
          <w:b/>
          <w:color w:val="auto"/>
          <w:spacing w:val="20"/>
          <w:kern w:val="0"/>
          <w:sz w:val="32"/>
          <w:szCs w:val="32"/>
          <w:highlight w:val="none"/>
          <w:lang w:eastAsia="zh-CN"/>
        </w:rPr>
        <w:t>）</w:t>
      </w:r>
      <w:r>
        <w:rPr>
          <w:rFonts w:hint="eastAsia" w:asciiTheme="minorEastAsia" w:hAnsiTheme="minorEastAsia" w:eastAsiaTheme="minorEastAsia" w:cstheme="minorEastAsia"/>
          <w:b/>
          <w:color w:val="auto"/>
          <w:spacing w:val="20"/>
          <w:kern w:val="0"/>
          <w:sz w:val="32"/>
          <w:szCs w:val="32"/>
          <w:highlight w:val="none"/>
        </w:rPr>
        <w:t>：</w:t>
      </w:r>
      <w:r>
        <w:rPr>
          <w:rFonts w:hint="eastAsia" w:ascii="宋体" w:hAnsi="宋体" w:eastAsia="宋体" w:cs="宋体"/>
          <w:b/>
          <w:spacing w:val="23"/>
          <w:w w:val="93"/>
          <w:kern w:val="0"/>
          <w:sz w:val="32"/>
          <w:szCs w:val="32"/>
          <w:highlight w:val="none"/>
          <w:u w:val="single"/>
          <w:lang w:eastAsia="zh-CN"/>
        </w:rPr>
        <w:t>港利上城国际小区第二届业主委员会</w:t>
      </w:r>
    </w:p>
    <w:p w14:paraId="41604E9B">
      <w:pPr>
        <w:tabs>
          <w:tab w:val="left" w:pos="2410"/>
        </w:tabs>
        <w:adjustRightInd w:val="0"/>
        <w:snapToGrid w:val="0"/>
        <w:spacing w:line="360" w:lineRule="auto"/>
        <w:rPr>
          <w:rFonts w:ascii="宋体" w:hAnsi="宋体" w:eastAsia="宋体" w:cs="宋体"/>
          <w:b/>
          <w:color w:val="auto"/>
          <w:spacing w:val="20"/>
          <w:kern w:val="0"/>
          <w:sz w:val="32"/>
          <w:szCs w:val="32"/>
          <w:highlight w:val="none"/>
        </w:rPr>
      </w:pPr>
      <w:bookmarkStart w:id="3" w:name="_Toc32336"/>
      <w:bookmarkStart w:id="4" w:name="_Toc6726"/>
      <w:bookmarkStart w:id="5" w:name="_Toc5557"/>
      <w:bookmarkStart w:id="6" w:name="_Toc99301417"/>
      <w:bookmarkStart w:id="7" w:name="_Toc27576"/>
      <w:bookmarkStart w:id="8" w:name="_Toc74227630"/>
      <w:r>
        <w:rPr>
          <w:rFonts w:hint="eastAsia" w:ascii="宋体" w:hAnsi="宋体" w:eastAsia="宋体" w:cs="宋体"/>
          <w:b/>
          <w:color w:val="auto"/>
          <w:spacing w:val="20"/>
          <w:kern w:val="0"/>
          <w:sz w:val="32"/>
          <w:szCs w:val="32"/>
          <w:highlight w:val="none"/>
        </w:rPr>
        <w:t>采购代理机构（加盖公章）：</w:t>
      </w:r>
      <w:r>
        <w:rPr>
          <w:rFonts w:hint="eastAsia" w:ascii="宋体" w:hAnsi="宋体" w:eastAsia="宋体" w:cs="宋体"/>
          <w:b/>
          <w:spacing w:val="20"/>
          <w:kern w:val="0"/>
          <w:sz w:val="32"/>
          <w:szCs w:val="32"/>
          <w:u w:val="single"/>
        </w:rPr>
        <w:t>盛唐工程咨询集团有限公司</w:t>
      </w:r>
    </w:p>
    <w:p w14:paraId="03ADCF2A">
      <w:pPr>
        <w:tabs>
          <w:tab w:val="left" w:pos="2410"/>
        </w:tabs>
        <w:adjustRightInd w:val="0"/>
        <w:snapToGrid w:val="0"/>
        <w:spacing w:line="360" w:lineRule="auto"/>
        <w:jc w:val="center"/>
        <w:rPr>
          <w:rFonts w:hint="eastAsia" w:ascii="宋体" w:hAnsi="宋体" w:eastAsia="宋体" w:cs="宋体"/>
          <w:b/>
          <w:sz w:val="36"/>
          <w:u w:val="single"/>
          <w:lang w:val="en-US" w:eastAsia="zh-CN"/>
        </w:rPr>
      </w:pPr>
      <w:bookmarkStart w:id="9" w:name="_Toc1422"/>
      <w:bookmarkStart w:id="10" w:name="_Toc18525"/>
      <w:bookmarkStart w:id="11" w:name="_Toc10746"/>
    </w:p>
    <w:p w14:paraId="4AA3DC81">
      <w:pPr>
        <w:tabs>
          <w:tab w:val="left" w:pos="2410"/>
        </w:tabs>
        <w:adjustRightInd w:val="0"/>
        <w:snapToGrid w:val="0"/>
        <w:spacing w:line="360" w:lineRule="auto"/>
        <w:jc w:val="center"/>
        <w:rPr>
          <w:rFonts w:ascii="宋体" w:hAnsi="宋体" w:eastAsia="宋体" w:cs="宋体"/>
          <w:b/>
          <w:color w:val="auto"/>
          <w:sz w:val="36"/>
          <w:highlight w:val="none"/>
        </w:rPr>
      </w:pPr>
      <w:r>
        <w:rPr>
          <w:rFonts w:hint="eastAsia" w:ascii="宋体" w:hAnsi="宋体" w:eastAsia="宋体" w:cs="宋体"/>
          <w:b/>
          <w:sz w:val="36"/>
          <w:u w:val="single"/>
          <w:lang w:val="en-US" w:eastAsia="zh-CN"/>
        </w:rPr>
        <w:t>2026</w:t>
      </w:r>
      <w:r>
        <w:rPr>
          <w:rFonts w:hint="eastAsia" w:ascii="宋体" w:hAnsi="宋体" w:eastAsia="宋体" w:cs="宋体"/>
          <w:b/>
          <w:sz w:val="36"/>
        </w:rPr>
        <w:t>年</w:t>
      </w:r>
      <w:r>
        <w:rPr>
          <w:rFonts w:hint="eastAsia" w:ascii="宋体" w:hAnsi="宋体" w:eastAsia="宋体" w:cs="宋体"/>
          <w:b/>
          <w:sz w:val="36"/>
          <w:u w:val="single"/>
          <w:lang w:val="en-US" w:eastAsia="zh-CN"/>
        </w:rPr>
        <w:t>7</w:t>
      </w:r>
      <w:r>
        <w:rPr>
          <w:rFonts w:hint="eastAsia" w:ascii="宋体" w:hAnsi="宋体" w:eastAsia="宋体" w:cs="宋体"/>
          <w:b/>
          <w:sz w:val="36"/>
        </w:rPr>
        <w:t>月</w:t>
      </w:r>
      <w:bookmarkEnd w:id="9"/>
      <w:bookmarkEnd w:id="10"/>
      <w:bookmarkEnd w:id="11"/>
    </w:p>
    <w:p w14:paraId="049992B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36"/>
          <w:highlight w:val="none"/>
        </w:rPr>
        <w:sectPr>
          <w:headerReference r:id="rId3" w:type="default"/>
          <w:footerReference r:id="rId4" w:type="default"/>
          <w:pgSz w:w="11905" w:h="16838"/>
          <w:pgMar w:top="1417" w:right="1417" w:bottom="1417" w:left="1417" w:header="850" w:footer="992" w:gutter="0"/>
          <w:cols w:space="0" w:num="1"/>
          <w:rtlGutter w:val="0"/>
          <w:docGrid w:type="lines" w:linePitch="318" w:charSpace="0"/>
        </w:sectPr>
      </w:pPr>
    </w:p>
    <w:bookmarkEnd w:id="3"/>
    <w:bookmarkEnd w:id="4"/>
    <w:bookmarkEnd w:id="5"/>
    <w:bookmarkEnd w:id="6"/>
    <w:bookmarkEnd w:id="7"/>
    <w:bookmarkEnd w:id="8"/>
    <w:p w14:paraId="0B01DBF4">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color w:val="auto"/>
          <w:sz w:val="28"/>
          <w:highlight w:val="none"/>
        </w:rPr>
      </w:pPr>
    </w:p>
    <w:sdt>
      <w:sdtPr>
        <w:rPr>
          <w:rFonts w:ascii="宋体" w:hAnsi="宋体" w:eastAsia="宋体" w:cs="@仿宋_GB2312"/>
          <w:b/>
          <w:bCs/>
          <w:color w:val="auto"/>
          <w:kern w:val="2"/>
          <w:sz w:val="21"/>
          <w:highlight w:val="none"/>
          <w:lang w:val="en-US" w:eastAsia="zh-CN" w:bidi="ar-SA"/>
        </w:rPr>
        <w:id w:val="147483350"/>
        <w15:color w:val="DBDBDB"/>
        <w:docPartObj>
          <w:docPartGallery w:val="Table of Contents"/>
          <w:docPartUnique/>
        </w:docPartObj>
      </w:sdtPr>
      <w:sdtEndPr>
        <w:rPr>
          <w:rFonts w:ascii="宋体" w:hAnsi="宋体" w:eastAsia="宋体" w:cs="@仿宋_GB2312"/>
          <w:b/>
          <w:bCs/>
          <w:color w:val="auto"/>
          <w:kern w:val="2"/>
          <w:sz w:val="21"/>
          <w:highlight w:val="none"/>
          <w:lang w:val="en-US" w:eastAsia="zh-CN" w:bidi="ar-SA"/>
        </w:rPr>
      </w:sdtEndPr>
      <w:sdtContent>
        <w:p w14:paraId="0BC80F45">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44"/>
              <w:szCs w:val="44"/>
              <w:highlight w:val="none"/>
            </w:rPr>
          </w:pPr>
          <w:bookmarkStart w:id="12" w:name="_Toc29624"/>
          <w:bookmarkStart w:id="13" w:name="_Toc7398"/>
          <w:bookmarkStart w:id="14" w:name="_Toc14004"/>
          <w:bookmarkStart w:id="15" w:name="_Toc4823"/>
          <w:bookmarkStart w:id="16" w:name="_Toc302"/>
          <w:bookmarkStart w:id="17" w:name="_Toc28440"/>
          <w:bookmarkStart w:id="18" w:name="_Toc30515"/>
          <w:bookmarkStart w:id="19" w:name="_Toc6637"/>
          <w:bookmarkStart w:id="20" w:name="_Toc3215791"/>
          <w:bookmarkStart w:id="21" w:name="_Toc29467"/>
          <w:bookmarkStart w:id="22" w:name="_Toc20604"/>
          <w:bookmarkStart w:id="23" w:name="_Toc1772"/>
          <w:bookmarkStart w:id="24" w:name="_Toc3295841"/>
          <w:bookmarkStart w:id="25" w:name="_Toc32331"/>
          <w:r>
            <w:rPr>
              <w:rFonts w:hint="eastAsia" w:ascii="宋体" w:hAnsi="宋体" w:eastAsia="宋体" w:cs="宋体"/>
              <w:b/>
              <w:bCs/>
              <w:color w:val="auto"/>
              <w:sz w:val="44"/>
              <w:szCs w:val="44"/>
              <w:highlight w:val="none"/>
            </w:rPr>
            <w:t>目</w:t>
          </w:r>
          <w:r>
            <w:rPr>
              <w:rFonts w:hint="eastAsia" w:ascii="宋体"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录</w:t>
          </w:r>
        </w:p>
        <w:p w14:paraId="1531343A">
          <w:pPr>
            <w:pStyle w:val="11"/>
            <w:tabs>
              <w:tab w:val="right" w:leader="dot" w:pos="9071"/>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"1-1" \h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_Toc21622 </w:instrText>
          </w:r>
          <w:r>
            <w:rPr>
              <w:rFonts w:hint="eastAsia" w:ascii="宋体" w:hAnsi="宋体" w:eastAsia="宋体" w:cs="宋体"/>
              <w:sz w:val="28"/>
              <w:szCs w:val="28"/>
              <w:highlight w:val="none"/>
            </w:rPr>
            <w:fldChar w:fldCharType="separate"/>
          </w:r>
          <w:r>
            <w:rPr>
              <w:rFonts w:hint="eastAsia" w:asciiTheme="minorEastAsia" w:hAnsiTheme="minorEastAsia" w:eastAsiaTheme="minorEastAsia" w:cstheme="minorEastAsia"/>
              <w:sz w:val="28"/>
              <w:szCs w:val="28"/>
              <w:highlight w:val="none"/>
            </w:rPr>
            <w:t>第一</w:t>
          </w:r>
          <w:r>
            <w:rPr>
              <w:rFonts w:hint="eastAsia" w:asciiTheme="minorEastAsia" w:hAnsiTheme="minorEastAsia" w:eastAsiaTheme="minorEastAsia" w:cstheme="minorEastAsia"/>
              <w:kern w:val="44"/>
              <w:sz w:val="28"/>
              <w:szCs w:val="28"/>
              <w:highlight w:val="none"/>
              <w:lang w:val="en-US" w:eastAsia="zh-CN" w:bidi="ar-SA"/>
            </w:rPr>
            <w:t>章  招标</w:t>
          </w:r>
          <w:r>
            <w:rPr>
              <w:rFonts w:hint="eastAsia" w:asciiTheme="minorEastAsia" w:hAnsiTheme="minorEastAsia" w:eastAsiaTheme="minorEastAsia" w:cstheme="minorEastAsia"/>
              <w:sz w:val="28"/>
              <w:szCs w:val="28"/>
              <w:highlight w:val="none"/>
            </w:rPr>
            <w:t>公告</w:t>
          </w:r>
          <w:r>
            <w:rPr>
              <w:sz w:val="28"/>
              <w:szCs w:val="28"/>
            </w:rPr>
            <w:tab/>
          </w:r>
          <w:r>
            <w:rPr>
              <w:sz w:val="28"/>
              <w:szCs w:val="28"/>
            </w:rPr>
            <w:fldChar w:fldCharType="begin"/>
          </w:r>
          <w:r>
            <w:rPr>
              <w:sz w:val="28"/>
              <w:szCs w:val="28"/>
            </w:rPr>
            <w:instrText xml:space="preserve"> PAGEREF _Toc21622 \h </w:instrText>
          </w:r>
          <w:r>
            <w:rPr>
              <w:sz w:val="28"/>
              <w:szCs w:val="28"/>
            </w:rPr>
            <w:fldChar w:fldCharType="separate"/>
          </w:r>
          <w:r>
            <w:rPr>
              <w:sz w:val="28"/>
              <w:szCs w:val="28"/>
            </w:rPr>
            <w:t>3</w:t>
          </w:r>
          <w:r>
            <w:rPr>
              <w:sz w:val="28"/>
              <w:szCs w:val="28"/>
            </w:rPr>
            <w:fldChar w:fldCharType="end"/>
          </w:r>
          <w:r>
            <w:rPr>
              <w:rFonts w:hint="eastAsia" w:ascii="宋体" w:hAnsi="宋体" w:eastAsia="宋体" w:cs="宋体"/>
              <w:color w:val="auto"/>
              <w:sz w:val="28"/>
              <w:szCs w:val="28"/>
              <w:highlight w:val="none"/>
            </w:rPr>
            <w:fldChar w:fldCharType="end"/>
          </w:r>
        </w:p>
        <w:p w14:paraId="58FDA9FF">
          <w:pPr>
            <w:pStyle w:val="11"/>
            <w:tabs>
              <w:tab w:val="right" w:leader="dot" w:pos="9071"/>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_Toc15527 </w:instrText>
          </w:r>
          <w:r>
            <w:rPr>
              <w:rFonts w:hint="eastAsia" w:ascii="宋体" w:hAnsi="宋体" w:eastAsia="宋体" w:cs="宋体"/>
              <w:sz w:val="28"/>
              <w:szCs w:val="28"/>
              <w:highlight w:val="none"/>
            </w:rPr>
            <w:fldChar w:fldCharType="separate"/>
          </w:r>
          <w:r>
            <w:rPr>
              <w:rFonts w:hint="eastAsia" w:asciiTheme="minorEastAsia" w:hAnsiTheme="minorEastAsia" w:eastAsiaTheme="minorEastAsia" w:cstheme="minorEastAsia"/>
              <w:kern w:val="44"/>
              <w:sz w:val="28"/>
              <w:szCs w:val="28"/>
              <w:highlight w:val="none"/>
              <w:lang w:val="en-US" w:eastAsia="zh-CN" w:bidi="ar-SA"/>
            </w:rPr>
            <w:t>第二章  投标人须知</w:t>
          </w:r>
          <w:r>
            <w:rPr>
              <w:sz w:val="28"/>
              <w:szCs w:val="28"/>
            </w:rPr>
            <w:tab/>
          </w:r>
          <w:r>
            <w:rPr>
              <w:sz w:val="28"/>
              <w:szCs w:val="28"/>
            </w:rPr>
            <w:fldChar w:fldCharType="begin"/>
          </w:r>
          <w:r>
            <w:rPr>
              <w:sz w:val="28"/>
              <w:szCs w:val="28"/>
            </w:rPr>
            <w:instrText xml:space="preserve"> PAGEREF _Toc15527 \h </w:instrText>
          </w:r>
          <w:r>
            <w:rPr>
              <w:sz w:val="28"/>
              <w:szCs w:val="28"/>
            </w:rPr>
            <w:fldChar w:fldCharType="separate"/>
          </w:r>
          <w:r>
            <w:rPr>
              <w:sz w:val="28"/>
              <w:szCs w:val="28"/>
            </w:rPr>
            <w:t>7</w:t>
          </w:r>
          <w:r>
            <w:rPr>
              <w:sz w:val="28"/>
              <w:szCs w:val="28"/>
            </w:rPr>
            <w:fldChar w:fldCharType="end"/>
          </w:r>
          <w:r>
            <w:rPr>
              <w:rFonts w:hint="eastAsia" w:ascii="宋体" w:hAnsi="宋体" w:eastAsia="宋体" w:cs="宋体"/>
              <w:color w:val="auto"/>
              <w:sz w:val="28"/>
              <w:szCs w:val="28"/>
              <w:highlight w:val="none"/>
            </w:rPr>
            <w:fldChar w:fldCharType="end"/>
          </w:r>
        </w:p>
        <w:p w14:paraId="62064E03">
          <w:pPr>
            <w:pStyle w:val="11"/>
            <w:tabs>
              <w:tab w:val="right" w:leader="dot" w:pos="9071"/>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_Toc25895 </w:instrText>
          </w:r>
          <w:r>
            <w:rPr>
              <w:rFonts w:hint="eastAsia" w:ascii="宋体" w:hAnsi="宋体" w:eastAsia="宋体" w:cs="宋体"/>
              <w:sz w:val="28"/>
              <w:szCs w:val="28"/>
              <w:highlight w:val="none"/>
            </w:rPr>
            <w:fldChar w:fldCharType="separate"/>
          </w:r>
          <w:r>
            <w:rPr>
              <w:rFonts w:hint="eastAsia" w:asciiTheme="minorEastAsia" w:hAnsiTheme="minorEastAsia" w:eastAsiaTheme="minorEastAsia" w:cstheme="minorEastAsia"/>
              <w:kern w:val="44"/>
              <w:sz w:val="28"/>
              <w:szCs w:val="28"/>
              <w:highlight w:val="none"/>
              <w:lang w:val="en-US" w:eastAsia="zh-CN" w:bidi="ar-SA"/>
            </w:rPr>
            <w:t>第三章  采购需求</w:t>
          </w:r>
          <w:r>
            <w:rPr>
              <w:sz w:val="28"/>
              <w:szCs w:val="28"/>
            </w:rPr>
            <w:tab/>
          </w:r>
          <w:r>
            <w:rPr>
              <w:sz w:val="28"/>
              <w:szCs w:val="28"/>
            </w:rPr>
            <w:fldChar w:fldCharType="begin"/>
          </w:r>
          <w:r>
            <w:rPr>
              <w:sz w:val="28"/>
              <w:szCs w:val="28"/>
            </w:rPr>
            <w:instrText xml:space="preserve"> PAGEREF _Toc25895 \h </w:instrText>
          </w:r>
          <w:r>
            <w:rPr>
              <w:sz w:val="28"/>
              <w:szCs w:val="28"/>
            </w:rPr>
            <w:fldChar w:fldCharType="separate"/>
          </w:r>
          <w:r>
            <w:rPr>
              <w:sz w:val="28"/>
              <w:szCs w:val="28"/>
            </w:rPr>
            <w:t>24</w:t>
          </w:r>
          <w:r>
            <w:rPr>
              <w:sz w:val="28"/>
              <w:szCs w:val="28"/>
            </w:rPr>
            <w:fldChar w:fldCharType="end"/>
          </w:r>
          <w:r>
            <w:rPr>
              <w:rFonts w:hint="eastAsia" w:ascii="宋体" w:hAnsi="宋体" w:eastAsia="宋体" w:cs="宋体"/>
              <w:color w:val="auto"/>
              <w:sz w:val="28"/>
              <w:szCs w:val="28"/>
              <w:highlight w:val="none"/>
            </w:rPr>
            <w:fldChar w:fldCharType="end"/>
          </w:r>
        </w:p>
        <w:p w14:paraId="6D9E8C3D">
          <w:pPr>
            <w:pStyle w:val="11"/>
            <w:tabs>
              <w:tab w:val="right" w:leader="dot" w:pos="9071"/>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_Toc18914 </w:instrText>
          </w:r>
          <w:r>
            <w:rPr>
              <w:rFonts w:hint="eastAsia" w:ascii="宋体" w:hAnsi="宋体" w:eastAsia="宋体" w:cs="宋体"/>
              <w:sz w:val="28"/>
              <w:szCs w:val="28"/>
              <w:highlight w:val="none"/>
            </w:rPr>
            <w:fldChar w:fldCharType="separate"/>
          </w:r>
          <w:r>
            <w:rPr>
              <w:rFonts w:hint="eastAsia" w:asciiTheme="minorEastAsia" w:hAnsiTheme="minorEastAsia" w:eastAsiaTheme="minorEastAsia" w:cstheme="minorEastAsia"/>
              <w:kern w:val="44"/>
              <w:sz w:val="28"/>
              <w:szCs w:val="28"/>
              <w:highlight w:val="none"/>
              <w:lang w:val="en-US" w:eastAsia="zh-CN" w:bidi="ar-SA"/>
            </w:rPr>
            <w:t>第四章  评标方法和标准（综合评分法）</w:t>
          </w:r>
          <w:r>
            <w:rPr>
              <w:sz w:val="28"/>
              <w:szCs w:val="28"/>
            </w:rPr>
            <w:tab/>
          </w:r>
          <w:r>
            <w:rPr>
              <w:sz w:val="28"/>
              <w:szCs w:val="28"/>
            </w:rPr>
            <w:fldChar w:fldCharType="begin"/>
          </w:r>
          <w:r>
            <w:rPr>
              <w:sz w:val="28"/>
              <w:szCs w:val="28"/>
            </w:rPr>
            <w:instrText xml:space="preserve"> PAGEREF _Toc18914 \h </w:instrText>
          </w:r>
          <w:r>
            <w:rPr>
              <w:sz w:val="28"/>
              <w:szCs w:val="28"/>
            </w:rPr>
            <w:fldChar w:fldCharType="separate"/>
          </w:r>
          <w:r>
            <w:rPr>
              <w:sz w:val="28"/>
              <w:szCs w:val="28"/>
            </w:rPr>
            <w:t>54</w:t>
          </w:r>
          <w:r>
            <w:rPr>
              <w:sz w:val="28"/>
              <w:szCs w:val="28"/>
            </w:rPr>
            <w:fldChar w:fldCharType="end"/>
          </w:r>
          <w:r>
            <w:rPr>
              <w:rFonts w:hint="eastAsia" w:ascii="宋体" w:hAnsi="宋体" w:eastAsia="宋体" w:cs="宋体"/>
              <w:color w:val="auto"/>
              <w:sz w:val="28"/>
              <w:szCs w:val="28"/>
              <w:highlight w:val="none"/>
            </w:rPr>
            <w:fldChar w:fldCharType="end"/>
          </w:r>
        </w:p>
        <w:p w14:paraId="65C18E6E">
          <w:pPr>
            <w:pStyle w:val="11"/>
            <w:tabs>
              <w:tab w:val="right" w:leader="dot" w:pos="9071"/>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_Toc15536 </w:instrText>
          </w:r>
          <w:r>
            <w:rPr>
              <w:rFonts w:hint="eastAsia" w:ascii="宋体" w:hAnsi="宋体" w:eastAsia="宋体" w:cs="宋体"/>
              <w:sz w:val="28"/>
              <w:szCs w:val="28"/>
              <w:highlight w:val="none"/>
            </w:rPr>
            <w:fldChar w:fldCharType="separate"/>
          </w:r>
          <w:r>
            <w:rPr>
              <w:rFonts w:hint="eastAsia" w:asciiTheme="minorEastAsia" w:hAnsiTheme="minorEastAsia" w:eastAsiaTheme="minorEastAsia" w:cstheme="minorEastAsia"/>
              <w:kern w:val="44"/>
              <w:sz w:val="28"/>
              <w:szCs w:val="28"/>
              <w:highlight w:val="none"/>
              <w:lang w:val="en-US" w:eastAsia="zh-CN" w:bidi="ar-SA"/>
            </w:rPr>
            <w:t>第五章  合同</w:t>
          </w:r>
          <w:r>
            <w:rPr>
              <w:sz w:val="28"/>
              <w:szCs w:val="28"/>
            </w:rPr>
            <w:tab/>
          </w:r>
          <w:r>
            <w:rPr>
              <w:sz w:val="28"/>
              <w:szCs w:val="28"/>
            </w:rPr>
            <w:fldChar w:fldCharType="begin"/>
          </w:r>
          <w:r>
            <w:rPr>
              <w:sz w:val="28"/>
              <w:szCs w:val="28"/>
            </w:rPr>
            <w:instrText xml:space="preserve"> PAGEREF _Toc15536 \h </w:instrText>
          </w:r>
          <w:r>
            <w:rPr>
              <w:sz w:val="28"/>
              <w:szCs w:val="28"/>
            </w:rPr>
            <w:fldChar w:fldCharType="separate"/>
          </w:r>
          <w:r>
            <w:rPr>
              <w:sz w:val="28"/>
              <w:szCs w:val="28"/>
            </w:rPr>
            <w:t>65</w:t>
          </w:r>
          <w:r>
            <w:rPr>
              <w:sz w:val="28"/>
              <w:szCs w:val="28"/>
            </w:rPr>
            <w:fldChar w:fldCharType="end"/>
          </w:r>
          <w:r>
            <w:rPr>
              <w:rFonts w:hint="eastAsia" w:ascii="宋体" w:hAnsi="宋体" w:eastAsia="宋体" w:cs="宋体"/>
              <w:color w:val="auto"/>
              <w:sz w:val="28"/>
              <w:szCs w:val="28"/>
              <w:highlight w:val="none"/>
            </w:rPr>
            <w:fldChar w:fldCharType="end"/>
          </w:r>
        </w:p>
        <w:p w14:paraId="689901E9">
          <w:pPr>
            <w:pStyle w:val="11"/>
            <w:tabs>
              <w:tab w:val="right" w:leader="dot" w:pos="9071"/>
            </w:tabs>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_Toc3642 </w:instrText>
          </w:r>
          <w:r>
            <w:rPr>
              <w:rFonts w:hint="eastAsia" w:ascii="宋体" w:hAnsi="宋体" w:eastAsia="宋体" w:cs="宋体"/>
              <w:sz w:val="28"/>
              <w:szCs w:val="28"/>
              <w:highlight w:val="none"/>
            </w:rPr>
            <w:fldChar w:fldCharType="separate"/>
          </w:r>
          <w:r>
            <w:rPr>
              <w:rFonts w:hint="eastAsia" w:asciiTheme="minorEastAsia" w:hAnsiTheme="minorEastAsia" w:eastAsiaTheme="minorEastAsia" w:cstheme="minorEastAsia"/>
              <w:kern w:val="44"/>
              <w:sz w:val="28"/>
              <w:szCs w:val="28"/>
              <w:highlight w:val="none"/>
              <w:lang w:val="en-US" w:eastAsia="zh-CN" w:bidi="ar-SA"/>
            </w:rPr>
            <w:t>第六章  投标文件格式</w:t>
          </w:r>
          <w:r>
            <w:rPr>
              <w:sz w:val="28"/>
              <w:szCs w:val="28"/>
            </w:rPr>
            <w:tab/>
          </w:r>
          <w:r>
            <w:rPr>
              <w:sz w:val="28"/>
              <w:szCs w:val="28"/>
            </w:rPr>
            <w:fldChar w:fldCharType="begin"/>
          </w:r>
          <w:r>
            <w:rPr>
              <w:sz w:val="28"/>
              <w:szCs w:val="28"/>
            </w:rPr>
            <w:instrText xml:space="preserve"> PAGEREF _Toc3642 \h </w:instrText>
          </w:r>
          <w:r>
            <w:rPr>
              <w:sz w:val="28"/>
              <w:szCs w:val="28"/>
            </w:rPr>
            <w:fldChar w:fldCharType="separate"/>
          </w:r>
          <w:r>
            <w:rPr>
              <w:sz w:val="28"/>
              <w:szCs w:val="28"/>
            </w:rPr>
            <w:t>74</w:t>
          </w:r>
          <w:r>
            <w:rPr>
              <w:sz w:val="28"/>
              <w:szCs w:val="28"/>
            </w:rPr>
            <w:fldChar w:fldCharType="end"/>
          </w:r>
          <w:r>
            <w:rPr>
              <w:rFonts w:hint="eastAsia" w:ascii="宋体" w:hAnsi="宋体" w:eastAsia="宋体" w:cs="宋体"/>
              <w:color w:val="auto"/>
              <w:sz w:val="28"/>
              <w:szCs w:val="28"/>
              <w:highlight w:val="none"/>
            </w:rPr>
            <w:fldChar w:fldCharType="end"/>
          </w:r>
        </w:p>
        <w:p w14:paraId="58FD44FD">
          <w:pPr>
            <w:pStyle w:val="11"/>
            <w:tabs>
              <w:tab w:val="right" w:leader="dot" w:pos="9071"/>
            </w:tabs>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_Toc13549 </w:instrText>
          </w:r>
          <w:r>
            <w:rPr>
              <w:rFonts w:hint="eastAsia" w:ascii="宋体" w:hAnsi="宋体" w:eastAsia="宋体" w:cs="宋体"/>
              <w:sz w:val="28"/>
              <w:szCs w:val="28"/>
              <w:highlight w:val="none"/>
            </w:rPr>
            <w:fldChar w:fldCharType="separate"/>
          </w:r>
          <w:r>
            <w:rPr>
              <w:rFonts w:hint="eastAsia" w:asciiTheme="minorEastAsia" w:hAnsiTheme="minorEastAsia" w:eastAsiaTheme="minorEastAsia" w:cstheme="minorEastAsia"/>
              <w:kern w:val="44"/>
              <w:sz w:val="28"/>
              <w:szCs w:val="28"/>
              <w:highlight w:val="none"/>
              <w:lang w:val="en-US" w:eastAsia="zh-CN" w:bidi="ar-SA"/>
            </w:rPr>
            <w:t>第七章  供应商询问函和质疑函范本</w:t>
          </w:r>
          <w:r>
            <w:rPr>
              <w:sz w:val="28"/>
              <w:szCs w:val="28"/>
            </w:rPr>
            <w:tab/>
          </w:r>
          <w:r>
            <w:rPr>
              <w:sz w:val="28"/>
              <w:szCs w:val="28"/>
            </w:rPr>
            <w:fldChar w:fldCharType="begin"/>
          </w:r>
          <w:r>
            <w:rPr>
              <w:sz w:val="28"/>
              <w:szCs w:val="28"/>
            </w:rPr>
            <w:instrText xml:space="preserve"> PAGEREF _Toc13549 \h </w:instrText>
          </w:r>
          <w:r>
            <w:rPr>
              <w:sz w:val="28"/>
              <w:szCs w:val="28"/>
            </w:rPr>
            <w:fldChar w:fldCharType="separate"/>
          </w:r>
          <w:r>
            <w:rPr>
              <w:sz w:val="28"/>
              <w:szCs w:val="28"/>
            </w:rPr>
            <w:t>86</w:t>
          </w:r>
          <w:r>
            <w:rPr>
              <w:sz w:val="28"/>
              <w:szCs w:val="28"/>
            </w:rPr>
            <w:fldChar w:fldCharType="end"/>
          </w:r>
          <w:r>
            <w:rPr>
              <w:rFonts w:hint="eastAsia" w:ascii="宋体" w:hAnsi="宋体" w:eastAsia="宋体" w:cs="宋体"/>
              <w:color w:val="auto"/>
              <w:sz w:val="28"/>
              <w:szCs w:val="28"/>
              <w:highlight w:val="none"/>
            </w:rPr>
            <w:fldChar w:fldCharType="end"/>
          </w:r>
        </w:p>
        <w:p w14:paraId="193A253D">
          <w:pPr>
            <w:rPr>
              <w:color w:val="auto"/>
              <w:highlight w:val="none"/>
            </w:rPr>
          </w:pPr>
          <w:r>
            <w:rPr>
              <w:rFonts w:hint="eastAsia" w:ascii="宋体" w:hAnsi="宋体" w:eastAsia="宋体" w:cs="宋体"/>
              <w:color w:val="auto"/>
              <w:szCs w:val="28"/>
              <w:highlight w:val="none"/>
            </w:rPr>
            <w:fldChar w:fldCharType="end"/>
          </w:r>
        </w:p>
      </w:sdtContent>
    </w:sdt>
    <w:p w14:paraId="3AA570CE">
      <w:pPr>
        <w:rPr>
          <w:color w:val="auto"/>
          <w:highlight w:val="none"/>
        </w:rPr>
      </w:pPr>
    </w:p>
    <w:p w14:paraId="2D550B70">
      <w:pPr>
        <w:keepNext w:val="0"/>
        <w:keepLines w:val="0"/>
        <w:pageBreakBefore w:val="0"/>
        <w:widowControl/>
        <w:shd w:val="clear" w:color="auto" w:fill="auto"/>
        <w:kinsoku/>
        <w:wordWrap/>
        <w:overflowPunct/>
        <w:topLinePunct w:val="0"/>
        <w:autoSpaceDE/>
        <w:autoSpaceDN/>
        <w:bidi w:val="0"/>
        <w:adjustRightInd/>
        <w:snapToGrid/>
        <w:spacing w:line="360" w:lineRule="auto"/>
        <w:ind w:left="0" w:leftChars="0" w:right="0" w:rightChars="0"/>
        <w:jc w:val="left"/>
        <w:textAlignment w:val="auto"/>
        <w:outlineLvl w:val="9"/>
        <w:rPr>
          <w:rStyle w:val="19"/>
          <w:rFonts w:hint="eastAsia" w:asciiTheme="minorEastAsia" w:hAnsiTheme="minorEastAsia" w:eastAsiaTheme="minorEastAsia" w:cstheme="minorEastAsia"/>
          <w:color w:val="auto"/>
          <w:highlight w:val="none"/>
        </w:rPr>
      </w:pPr>
      <w:r>
        <w:rPr>
          <w:rStyle w:val="19"/>
          <w:rFonts w:hint="eastAsia" w:asciiTheme="minorEastAsia" w:hAnsiTheme="minorEastAsia" w:eastAsiaTheme="minorEastAsia" w:cstheme="minorEastAsia"/>
          <w:color w:val="auto"/>
          <w:highlight w:val="none"/>
        </w:rPr>
        <w:br w:type="page"/>
      </w:r>
    </w:p>
    <w:p w14:paraId="355B4D0C">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0"/>
        <w:rPr>
          <w:rStyle w:val="19"/>
          <w:rFonts w:hint="eastAsia" w:asciiTheme="minorEastAsia" w:hAnsiTheme="minorEastAsia" w:eastAsiaTheme="minorEastAsia" w:cstheme="minorEastAsia"/>
          <w:color w:val="auto"/>
          <w:highlight w:val="none"/>
        </w:rPr>
      </w:pPr>
      <w:bookmarkStart w:id="26" w:name="_Toc21622"/>
      <w:r>
        <w:rPr>
          <w:rStyle w:val="19"/>
          <w:rFonts w:hint="eastAsia" w:asciiTheme="minorEastAsia" w:hAnsiTheme="minorEastAsia" w:eastAsiaTheme="minorEastAsia" w:cstheme="minorEastAsia"/>
          <w:color w:val="auto"/>
          <w:highlight w:val="none"/>
        </w:rPr>
        <w:t>第一</w:t>
      </w:r>
      <w:r>
        <w:rPr>
          <w:rStyle w:val="19"/>
          <w:rFonts w:hint="eastAsia" w:asciiTheme="minorEastAsia" w:hAnsiTheme="minorEastAsia" w:eastAsiaTheme="minorEastAsia" w:cstheme="minorEastAsia"/>
          <w:color w:val="auto"/>
          <w:kern w:val="44"/>
          <w:sz w:val="44"/>
          <w:szCs w:val="44"/>
          <w:highlight w:val="none"/>
          <w:lang w:val="en-US" w:eastAsia="zh-CN" w:bidi="ar-SA"/>
        </w:rPr>
        <w:t>章  招标</w:t>
      </w:r>
      <w:r>
        <w:rPr>
          <w:rStyle w:val="19"/>
          <w:rFonts w:hint="eastAsia" w:asciiTheme="minorEastAsia" w:hAnsiTheme="minorEastAsia" w:eastAsiaTheme="minorEastAsia" w:cstheme="minorEastAsia"/>
          <w:color w:val="auto"/>
          <w:highlight w:val="none"/>
        </w:rPr>
        <w:t>公告</w:t>
      </w:r>
      <w:bookmarkEnd w:id="12"/>
      <w:bookmarkEnd w:id="13"/>
      <w:bookmarkEnd w:id="14"/>
      <w:bookmarkEnd w:id="15"/>
      <w:bookmarkEnd w:id="16"/>
      <w:bookmarkEnd w:id="17"/>
      <w:bookmarkEnd w:id="18"/>
      <w:bookmarkEnd w:id="19"/>
      <w:bookmarkEnd w:id="20"/>
      <w:bookmarkEnd w:id="21"/>
      <w:bookmarkEnd w:id="22"/>
      <w:bookmarkEnd w:id="23"/>
      <w:bookmarkEnd w:id="24"/>
      <w:bookmarkEnd w:id="26"/>
    </w:p>
    <w:p w14:paraId="29049C3E">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bCs w:val="0"/>
          <w:color w:val="auto"/>
          <w:sz w:val="28"/>
          <w:szCs w:val="28"/>
          <w:highlight w:val="none"/>
          <w:lang w:val="en-US" w:eastAsia="zh-CN"/>
        </w:rPr>
      </w:pPr>
      <w:bookmarkStart w:id="27" w:name="_Toc35393621"/>
      <w:bookmarkStart w:id="28" w:name="_Toc28359002"/>
      <w:bookmarkStart w:id="29" w:name="_Toc25558"/>
      <w:bookmarkStart w:id="30" w:name="_Toc35393790"/>
      <w:bookmarkStart w:id="31" w:name="_Toc8265"/>
      <w:bookmarkStart w:id="32" w:name="_Toc23134"/>
      <w:bookmarkStart w:id="33" w:name="_Toc28359079"/>
      <w:bookmarkStart w:id="34" w:name="_Toc452"/>
      <w:bookmarkStart w:id="35" w:name="_Toc24420"/>
      <w:bookmarkStart w:id="36" w:name="_Hlk24379207"/>
      <w:bookmarkStart w:id="37" w:name="_Toc35393792"/>
      <w:bookmarkStart w:id="38" w:name="_Toc8720"/>
      <w:bookmarkStart w:id="39" w:name="_Toc19011"/>
      <w:bookmarkStart w:id="40" w:name="_Toc20217"/>
      <w:bookmarkStart w:id="41" w:name="_Toc22727"/>
      <w:bookmarkStart w:id="42" w:name="_Toc35393623"/>
      <w:bookmarkStart w:id="43" w:name="_Toc15468"/>
      <w:bookmarkStart w:id="44" w:name="_Toc15648"/>
      <w:r>
        <w:rPr>
          <w:rFonts w:hint="eastAsia" w:asciiTheme="minorEastAsia" w:hAnsiTheme="minorEastAsia" w:eastAsiaTheme="minorEastAsia" w:cstheme="minorEastAsia"/>
          <w:b w:val="0"/>
          <w:bCs w:val="0"/>
          <w:color w:val="auto"/>
          <w:sz w:val="28"/>
          <w:szCs w:val="28"/>
          <w:highlight w:val="none"/>
          <w:lang w:val="en-US" w:eastAsia="zh-CN"/>
        </w:rPr>
        <w:t>项目概况</w:t>
      </w:r>
    </w:p>
    <w:p w14:paraId="64D3D5F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宋体" w:hAnsi="宋体" w:eastAsia="宋体" w:cs="宋体"/>
          <w:i w:val="0"/>
          <w:iCs w:val="0"/>
          <w:sz w:val="28"/>
          <w:szCs w:val="28"/>
          <w:u w:val="single"/>
        </w:rPr>
        <w:t>港利上城国际物业服务采购项目</w:t>
      </w:r>
      <w:r>
        <w:rPr>
          <w:rFonts w:hint="eastAsia" w:asciiTheme="minorEastAsia" w:hAnsiTheme="minorEastAsia" w:eastAsiaTheme="minorEastAsia" w:cstheme="minorEastAsia"/>
          <w:color w:val="auto"/>
          <w:sz w:val="28"/>
          <w:szCs w:val="28"/>
          <w:highlight w:val="none"/>
        </w:rPr>
        <w:t>的潜在投标人应在</w:t>
      </w:r>
      <w:r>
        <w:rPr>
          <w:rFonts w:hint="eastAsia" w:ascii="宋体" w:hAnsi="宋体" w:eastAsia="宋体" w:cs="宋体"/>
          <w:color w:val="auto"/>
          <w:sz w:val="28"/>
          <w:szCs w:val="28"/>
          <w:highlight w:val="none"/>
          <w:u w:val="single"/>
          <w:lang w:val="en-US" w:eastAsia="zh-CN"/>
        </w:rPr>
        <w:t>盛唐集团招标采购交易平台”（网址：http://stjt.ybbid.com）获取招标文件</w:t>
      </w:r>
      <w:r>
        <w:rPr>
          <w:rFonts w:hint="eastAsia" w:asciiTheme="minorEastAsia" w:hAnsiTheme="minorEastAsia" w:eastAsiaTheme="minorEastAsia" w:cstheme="minorEastAsia"/>
          <w:color w:val="auto"/>
          <w:sz w:val="28"/>
          <w:szCs w:val="28"/>
          <w:highlight w:val="none"/>
        </w:rPr>
        <w:t>获取招标文件，并于</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bCs/>
          <w:color w:val="auto"/>
          <w:sz w:val="28"/>
          <w:szCs w:val="28"/>
          <w:highlight w:val="none"/>
          <w:u w:val="single"/>
        </w:rPr>
        <w:t>年</w:t>
      </w:r>
      <w:r>
        <w:rPr>
          <w:rFonts w:hint="eastAsia" w:asciiTheme="minorEastAsia" w:hAnsiTheme="minorEastAsia" w:eastAsiaTheme="minorEastAsia" w:cstheme="minorEastAsia"/>
          <w:bCs/>
          <w:color w:val="auto"/>
          <w:sz w:val="28"/>
          <w:szCs w:val="28"/>
          <w:highlight w:val="none"/>
          <w:u w:val="single"/>
          <w:lang w:val="en-US" w:eastAsia="zh-CN"/>
        </w:rPr>
        <w:t>8</w:t>
      </w:r>
      <w:r>
        <w:rPr>
          <w:rFonts w:hint="eastAsia" w:asciiTheme="minorEastAsia" w:hAnsiTheme="minorEastAsia" w:eastAsiaTheme="minorEastAsia" w:cstheme="minorEastAsia"/>
          <w:bCs/>
          <w:color w:val="auto"/>
          <w:sz w:val="28"/>
          <w:szCs w:val="28"/>
          <w:highlight w:val="none"/>
          <w:u w:val="single"/>
        </w:rPr>
        <w:t>月</w:t>
      </w:r>
      <w:r>
        <w:rPr>
          <w:rFonts w:hint="eastAsia" w:asciiTheme="minorEastAsia" w:hAnsiTheme="minorEastAsia" w:eastAsiaTheme="minorEastAsia" w:cstheme="minorEastAsia"/>
          <w:bCs/>
          <w:color w:val="auto"/>
          <w:sz w:val="28"/>
          <w:szCs w:val="28"/>
          <w:highlight w:val="none"/>
          <w:u w:val="single"/>
          <w:lang w:val="en-US" w:eastAsia="zh-CN"/>
        </w:rPr>
        <w:t>17</w:t>
      </w:r>
      <w:r>
        <w:rPr>
          <w:rFonts w:hint="eastAsia" w:asciiTheme="minorEastAsia" w:hAnsiTheme="minorEastAsia" w:eastAsiaTheme="minorEastAsia" w:cstheme="minorEastAsia"/>
          <w:bCs/>
          <w:color w:val="auto"/>
          <w:sz w:val="28"/>
          <w:szCs w:val="28"/>
          <w:highlight w:val="none"/>
          <w:u w:val="single"/>
        </w:rPr>
        <w:t>日</w:t>
      </w:r>
      <w:r>
        <w:rPr>
          <w:rFonts w:hint="eastAsia" w:asciiTheme="minorEastAsia" w:hAnsiTheme="minorEastAsia" w:eastAsiaTheme="minorEastAsia" w:cstheme="minorEastAsia"/>
          <w:bCs/>
          <w:color w:val="auto"/>
          <w:sz w:val="28"/>
          <w:szCs w:val="28"/>
          <w:highlight w:val="none"/>
          <w:u w:val="single"/>
          <w:lang w:val="en-US" w:eastAsia="zh-CN"/>
        </w:rPr>
        <w:t>9</w:t>
      </w:r>
      <w:r>
        <w:rPr>
          <w:rFonts w:hint="eastAsia" w:asciiTheme="minorEastAsia" w:hAnsiTheme="minorEastAsia" w:eastAsiaTheme="minorEastAsia" w:cstheme="minorEastAsia"/>
          <w:bCs/>
          <w:color w:val="auto"/>
          <w:sz w:val="28"/>
          <w:szCs w:val="28"/>
          <w:highlight w:val="none"/>
          <w:u w:val="single"/>
        </w:rPr>
        <w:t>点</w:t>
      </w:r>
      <w:r>
        <w:rPr>
          <w:rFonts w:hint="eastAsia" w:asciiTheme="minorEastAsia" w:hAnsiTheme="minorEastAsia" w:eastAsiaTheme="minorEastAsia" w:cstheme="minorEastAsia"/>
          <w:bCs/>
          <w:color w:val="auto"/>
          <w:sz w:val="28"/>
          <w:szCs w:val="28"/>
          <w:highlight w:val="none"/>
          <w:u w:val="single"/>
          <w:lang w:val="en-US" w:eastAsia="zh-CN"/>
        </w:rPr>
        <w:t>30</w:t>
      </w:r>
      <w:r>
        <w:rPr>
          <w:rFonts w:hint="eastAsia" w:asciiTheme="minorEastAsia" w:hAnsiTheme="minorEastAsia" w:eastAsiaTheme="minorEastAsia" w:cstheme="minorEastAsia"/>
          <w:bCs/>
          <w:color w:val="auto"/>
          <w:sz w:val="28"/>
          <w:szCs w:val="28"/>
          <w:highlight w:val="none"/>
          <w:u w:val="single"/>
        </w:rPr>
        <w:t>分（</w:t>
      </w:r>
      <w:r>
        <w:rPr>
          <w:rFonts w:hint="eastAsia" w:asciiTheme="minorEastAsia" w:hAnsiTheme="minorEastAsia" w:eastAsiaTheme="minorEastAsia" w:cstheme="minorEastAsia"/>
          <w:bCs/>
          <w:color w:val="auto"/>
          <w:sz w:val="28"/>
          <w:szCs w:val="28"/>
          <w:highlight w:val="none"/>
        </w:rPr>
        <w:t>北京时间）前递交投标文件</w:t>
      </w:r>
      <w:r>
        <w:rPr>
          <w:rFonts w:hint="eastAsia" w:asciiTheme="minorEastAsia" w:hAnsiTheme="minorEastAsia" w:eastAsiaTheme="minorEastAsia" w:cstheme="minorEastAsia"/>
          <w:color w:val="auto"/>
          <w:sz w:val="28"/>
          <w:szCs w:val="28"/>
          <w:highlight w:val="none"/>
        </w:rPr>
        <w:t>。</w:t>
      </w:r>
    </w:p>
    <w:p w14:paraId="4F723F8C">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一、项目基本情况</w:t>
      </w:r>
      <w:bookmarkEnd w:id="27"/>
      <w:bookmarkEnd w:id="28"/>
      <w:bookmarkEnd w:id="29"/>
      <w:bookmarkEnd w:id="30"/>
      <w:bookmarkEnd w:id="31"/>
      <w:bookmarkEnd w:id="32"/>
      <w:bookmarkEnd w:id="33"/>
      <w:bookmarkEnd w:id="34"/>
      <w:bookmarkEnd w:id="35"/>
    </w:p>
    <w:p w14:paraId="095CEA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项目编号：</w:t>
      </w:r>
      <w:r>
        <w:rPr>
          <w:rFonts w:hint="eastAsia" w:ascii="宋体" w:hAnsi="宋体" w:eastAsia="宋体" w:cs="宋体"/>
          <w:i w:val="0"/>
          <w:iCs w:val="0"/>
          <w:sz w:val="28"/>
          <w:szCs w:val="28"/>
          <w:u w:val="single"/>
        </w:rPr>
        <w:t>STJT-2026FY0715</w:t>
      </w:r>
    </w:p>
    <w:p w14:paraId="414950B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项目名称：</w:t>
      </w:r>
      <w:r>
        <w:rPr>
          <w:rFonts w:hint="eastAsia" w:ascii="宋体" w:hAnsi="宋体" w:eastAsia="宋体" w:cs="宋体"/>
          <w:i w:val="0"/>
          <w:iCs w:val="0"/>
          <w:sz w:val="28"/>
          <w:szCs w:val="28"/>
          <w:u w:val="single"/>
        </w:rPr>
        <w:t>港利上城国际物业服务采购项目</w:t>
      </w:r>
      <w:bookmarkStart w:id="372" w:name="_GoBack"/>
      <w:bookmarkEnd w:id="372"/>
    </w:p>
    <w:bookmarkEnd w:id="36"/>
    <w:p w14:paraId="2B3D2A9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预算金额：</w:t>
      </w:r>
      <w:r>
        <w:rPr>
          <w:rFonts w:hint="eastAsia" w:ascii="宋体" w:hAnsi="宋体" w:eastAsia="宋体" w:cs="宋体"/>
          <w:sz w:val="28"/>
          <w:szCs w:val="28"/>
          <w:highlight w:val="none"/>
          <w:u w:val="single"/>
          <w:lang w:val="en-US" w:eastAsia="zh-CN"/>
        </w:rPr>
        <w:t>约</w:t>
      </w:r>
      <w:r>
        <w:rPr>
          <w:rFonts w:hint="eastAsia" w:ascii="宋体" w:hAnsi="宋体" w:eastAsia="宋体" w:cs="宋体"/>
          <w:i w:val="0"/>
          <w:iCs w:val="0"/>
          <w:sz w:val="28"/>
          <w:szCs w:val="28"/>
          <w:highlight w:val="none"/>
          <w:u w:val="single"/>
        </w:rPr>
        <w:t>3</w:t>
      </w:r>
      <w:r>
        <w:rPr>
          <w:rFonts w:hint="eastAsia" w:ascii="宋体" w:hAnsi="宋体" w:eastAsia="宋体" w:cs="宋体"/>
          <w:i w:val="0"/>
          <w:iCs w:val="0"/>
          <w:sz w:val="28"/>
          <w:szCs w:val="28"/>
          <w:highlight w:val="none"/>
          <w:u w:val="single"/>
          <w:lang w:val="en-US" w:eastAsia="zh-CN"/>
        </w:rPr>
        <w:t>56</w:t>
      </w:r>
      <w:r>
        <w:rPr>
          <w:rFonts w:hint="eastAsia" w:ascii="宋体" w:hAnsi="宋体" w:eastAsia="宋体" w:cs="宋体"/>
          <w:i w:val="0"/>
          <w:iCs w:val="0"/>
          <w:sz w:val="28"/>
          <w:szCs w:val="28"/>
          <w:highlight w:val="none"/>
          <w:u w:val="single"/>
        </w:rPr>
        <w:t>万元/年</w:t>
      </w:r>
    </w:p>
    <w:p w14:paraId="23FD86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eastAsia="宋体" w:asciiTheme="minorEastAsia" w:hAnsi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rPr>
        <w:t>最高限价：</w:t>
      </w:r>
      <w:r>
        <w:rPr>
          <w:rFonts w:hint="eastAsia" w:ascii="宋体" w:hAnsi="宋体" w:eastAsia="宋体" w:cs="宋体"/>
          <w:i w:val="0"/>
          <w:iCs w:val="0"/>
          <w:sz w:val="28"/>
          <w:szCs w:val="28"/>
          <w:highlight w:val="none"/>
          <w:u w:val="single"/>
        </w:rPr>
        <w:t>100%（参照</w:t>
      </w:r>
      <w:r>
        <w:rPr>
          <w:rFonts w:hint="eastAsia" w:ascii="宋体" w:hAnsi="宋体" w:eastAsia="宋体" w:cs="宋体"/>
          <w:i w:val="0"/>
          <w:iCs w:val="0"/>
          <w:sz w:val="28"/>
          <w:szCs w:val="28"/>
          <w:highlight w:val="none"/>
          <w:u w:val="single"/>
          <w:lang w:val="en-US" w:eastAsia="zh-CN"/>
        </w:rPr>
        <w:t>招标</w:t>
      </w:r>
      <w:r>
        <w:rPr>
          <w:rFonts w:hint="eastAsia" w:ascii="宋体" w:hAnsi="宋体" w:eastAsia="宋体" w:cs="宋体"/>
          <w:i w:val="0"/>
          <w:iCs w:val="0"/>
          <w:sz w:val="28"/>
          <w:szCs w:val="28"/>
          <w:highlight w:val="none"/>
          <w:u w:val="single"/>
        </w:rPr>
        <w:t>文件中“第三章</w:t>
      </w:r>
      <w:r>
        <w:rPr>
          <w:rFonts w:hint="eastAsia" w:ascii="宋体" w:hAnsi="宋体" w:eastAsia="宋体" w:cs="宋体"/>
          <w:i w:val="0"/>
          <w:iCs w:val="0"/>
          <w:sz w:val="28"/>
          <w:szCs w:val="28"/>
          <w:highlight w:val="none"/>
          <w:u w:val="single"/>
          <w:lang w:val="en-US" w:eastAsia="zh-CN"/>
        </w:rPr>
        <w:t xml:space="preserve"> </w:t>
      </w:r>
      <w:r>
        <w:rPr>
          <w:rFonts w:hint="eastAsia" w:ascii="宋体" w:hAnsi="宋体" w:eastAsia="宋体" w:cs="宋体"/>
          <w:i w:val="0"/>
          <w:iCs w:val="0"/>
          <w:sz w:val="28"/>
          <w:szCs w:val="28"/>
          <w:highlight w:val="none"/>
          <w:u w:val="single"/>
        </w:rPr>
        <w:t>采购需求</w:t>
      </w:r>
      <w:r>
        <w:rPr>
          <w:rFonts w:hint="eastAsia" w:ascii="宋体" w:hAnsi="宋体" w:eastAsia="宋体" w:cs="宋体"/>
          <w:i w:val="0"/>
          <w:iCs w:val="0"/>
          <w:sz w:val="28"/>
          <w:szCs w:val="28"/>
          <w:highlight w:val="none"/>
          <w:u w:val="single"/>
          <w:lang w:val="en-US" w:eastAsia="zh-CN"/>
        </w:rPr>
        <w:t xml:space="preserve"> </w:t>
      </w:r>
      <w:r>
        <w:rPr>
          <w:rFonts w:hint="eastAsia" w:ascii="宋体" w:hAnsi="宋体" w:eastAsia="宋体" w:cs="宋体"/>
          <w:i w:val="0"/>
          <w:iCs w:val="0"/>
          <w:sz w:val="28"/>
          <w:szCs w:val="28"/>
          <w:highlight w:val="none"/>
          <w:u w:val="single"/>
        </w:rPr>
        <w:t>物业服务费具体收费标准”，直接报费率），</w:t>
      </w:r>
      <w:r>
        <w:rPr>
          <w:rFonts w:hint="eastAsia" w:ascii="宋体" w:hAnsi="宋体" w:eastAsia="宋体" w:cs="宋体"/>
          <w:i w:val="0"/>
          <w:iCs w:val="0"/>
          <w:sz w:val="28"/>
          <w:szCs w:val="28"/>
          <w:highlight w:val="none"/>
          <w:u w:val="single"/>
          <w:lang w:val="en-US" w:eastAsia="zh-CN"/>
        </w:rPr>
        <w:t>投标人</w:t>
      </w:r>
      <w:r>
        <w:rPr>
          <w:rFonts w:hint="eastAsia" w:ascii="宋体" w:hAnsi="宋体" w:eastAsia="宋体" w:cs="宋体"/>
          <w:i w:val="0"/>
          <w:iCs w:val="0"/>
          <w:sz w:val="28"/>
          <w:szCs w:val="28"/>
          <w:highlight w:val="none"/>
          <w:u w:val="single"/>
        </w:rPr>
        <w:t>按单价形式进行统一折扣</w:t>
      </w:r>
      <w:r>
        <w:rPr>
          <w:rFonts w:hint="eastAsia" w:ascii="宋体" w:hAnsi="宋体" w:eastAsia="宋体" w:cs="宋体"/>
          <w:i w:val="0"/>
          <w:iCs w:val="0"/>
          <w:sz w:val="28"/>
          <w:szCs w:val="28"/>
          <w:highlight w:val="none"/>
          <w:u w:val="single"/>
          <w:lang w:eastAsia="zh-CN"/>
        </w:rPr>
        <w:t>。</w:t>
      </w:r>
    </w:p>
    <w:p w14:paraId="75481FB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宋体" w:hAnsi="宋体" w:eastAsia="宋体" w:cs="宋体"/>
          <w:sz w:val="28"/>
          <w:szCs w:val="28"/>
          <w:highlight w:val="yellow"/>
          <w:u w:val="single"/>
        </w:rPr>
      </w:pPr>
      <w:r>
        <w:rPr>
          <w:rFonts w:hint="eastAsia" w:asciiTheme="minorEastAsia" w:hAnsiTheme="minorEastAsia" w:eastAsiaTheme="minorEastAsia" w:cstheme="minorEastAsia"/>
          <w:color w:val="auto"/>
          <w:sz w:val="28"/>
          <w:szCs w:val="28"/>
          <w:highlight w:val="none"/>
        </w:rPr>
        <w:t>采购需求：</w:t>
      </w:r>
      <w:r>
        <w:rPr>
          <w:rFonts w:hint="eastAsia" w:ascii="宋体" w:hAnsi="宋体" w:eastAsia="宋体" w:cs="宋体"/>
          <w:sz w:val="28"/>
          <w:szCs w:val="28"/>
          <w:u w:val="single"/>
        </w:rPr>
        <w:t>本次</w:t>
      </w:r>
      <w:r>
        <w:rPr>
          <w:rFonts w:hint="eastAsia" w:ascii="宋体" w:hAnsi="宋体" w:eastAsia="宋体" w:cs="宋体"/>
          <w:sz w:val="28"/>
          <w:szCs w:val="28"/>
          <w:u w:val="single"/>
          <w:lang w:val="en-US" w:eastAsia="zh-CN"/>
        </w:rPr>
        <w:t>采购</w:t>
      </w:r>
      <w:r>
        <w:rPr>
          <w:rFonts w:hint="eastAsia" w:ascii="宋体" w:hAnsi="宋体" w:eastAsia="宋体" w:cs="宋体"/>
          <w:sz w:val="28"/>
          <w:szCs w:val="28"/>
          <w:u w:val="single"/>
        </w:rPr>
        <w:t>范围为阜阳市港利上城国际小区物业管理服务，港利上城国际小区总建筑面积</w:t>
      </w:r>
      <w:r>
        <w:rPr>
          <w:rFonts w:hint="eastAsia" w:ascii="宋体" w:hAnsi="宋体" w:eastAsia="宋体" w:cs="宋体"/>
          <w:sz w:val="28"/>
          <w:szCs w:val="28"/>
          <w:highlight w:val="none"/>
          <w:u w:val="single"/>
          <w:lang w:val="en-US" w:eastAsia="zh-CN"/>
        </w:rPr>
        <w:t>约</w:t>
      </w:r>
      <w:r>
        <w:rPr>
          <w:rFonts w:hint="eastAsia" w:ascii="宋体" w:hAnsi="宋体" w:eastAsia="宋体" w:cs="宋体"/>
          <w:sz w:val="28"/>
          <w:szCs w:val="28"/>
          <w:highlight w:val="none"/>
          <w:u w:val="single"/>
        </w:rPr>
        <w:t>36</w:t>
      </w:r>
      <w:r>
        <w:rPr>
          <w:rFonts w:hint="eastAsia" w:ascii="宋体" w:hAnsi="宋体" w:eastAsia="宋体" w:cs="宋体"/>
          <w:sz w:val="28"/>
          <w:szCs w:val="28"/>
          <w:highlight w:val="none"/>
          <w:u w:val="single"/>
          <w:lang w:val="en-US" w:eastAsia="zh-CN"/>
        </w:rPr>
        <w:t>0879.42</w:t>
      </w:r>
      <w:r>
        <w:rPr>
          <w:rFonts w:hint="eastAsia" w:ascii="宋体" w:hAnsi="宋体" w:eastAsia="宋体" w:cs="宋体"/>
          <w:sz w:val="28"/>
          <w:szCs w:val="28"/>
          <w:highlight w:val="none"/>
          <w:u w:val="single"/>
        </w:rPr>
        <w:t>㎡、多层住宅面积</w:t>
      </w:r>
      <w:r>
        <w:rPr>
          <w:rFonts w:hint="eastAsia" w:ascii="宋体" w:hAnsi="宋体" w:eastAsia="宋体" w:cs="宋体"/>
          <w:sz w:val="28"/>
          <w:szCs w:val="28"/>
          <w:highlight w:val="none"/>
          <w:u w:val="single"/>
          <w:lang w:val="en-US" w:eastAsia="zh-CN"/>
        </w:rPr>
        <w:t>约110291.64</w:t>
      </w:r>
      <w:r>
        <w:rPr>
          <w:rFonts w:hint="eastAsia" w:ascii="宋体" w:hAnsi="宋体" w:eastAsia="宋体" w:cs="宋体"/>
          <w:sz w:val="28"/>
          <w:szCs w:val="28"/>
          <w:highlight w:val="none"/>
          <w:u w:val="single"/>
        </w:rPr>
        <w:t>㎡、高层住宅面积</w:t>
      </w:r>
      <w:r>
        <w:rPr>
          <w:rFonts w:hint="eastAsia" w:ascii="宋体" w:hAnsi="宋体" w:eastAsia="宋体" w:cs="宋体"/>
          <w:sz w:val="28"/>
          <w:szCs w:val="28"/>
          <w:highlight w:val="none"/>
          <w:u w:val="single"/>
          <w:lang w:val="en-US" w:eastAsia="zh-CN"/>
        </w:rPr>
        <w:t>约177463.89</w:t>
      </w:r>
      <w:r>
        <w:rPr>
          <w:rFonts w:hint="eastAsia" w:ascii="宋体" w:hAnsi="宋体" w:eastAsia="宋体" w:cs="宋体"/>
          <w:sz w:val="28"/>
          <w:szCs w:val="28"/>
          <w:highlight w:val="none"/>
          <w:u w:val="single"/>
        </w:rPr>
        <w:t>㎡、独立式住宅（别墅）面积</w:t>
      </w:r>
      <w:r>
        <w:rPr>
          <w:rFonts w:hint="eastAsia" w:ascii="宋体" w:hAnsi="宋体" w:eastAsia="宋体" w:cs="宋体"/>
          <w:sz w:val="28"/>
          <w:szCs w:val="28"/>
          <w:highlight w:val="none"/>
          <w:u w:val="single"/>
          <w:lang w:val="en-US" w:eastAsia="zh-CN"/>
        </w:rPr>
        <w:t>约15044.88</w:t>
      </w:r>
      <w:r>
        <w:rPr>
          <w:rFonts w:hint="eastAsia" w:ascii="宋体" w:hAnsi="宋体" w:eastAsia="宋体" w:cs="宋体"/>
          <w:sz w:val="28"/>
          <w:szCs w:val="28"/>
          <w:highlight w:val="none"/>
          <w:u w:val="single"/>
        </w:rPr>
        <w:t>㎡、商业（办公）面积</w:t>
      </w:r>
      <w:r>
        <w:rPr>
          <w:rFonts w:hint="eastAsia" w:ascii="宋体" w:hAnsi="宋体" w:eastAsia="宋体" w:cs="宋体"/>
          <w:sz w:val="28"/>
          <w:szCs w:val="28"/>
          <w:highlight w:val="none"/>
          <w:u w:val="single"/>
          <w:lang w:val="en-US" w:eastAsia="zh-CN"/>
        </w:rPr>
        <w:t>约8322.61</w:t>
      </w:r>
      <w:r>
        <w:rPr>
          <w:rFonts w:hint="eastAsia" w:ascii="宋体" w:hAnsi="宋体" w:eastAsia="宋体" w:cs="宋体"/>
          <w:sz w:val="28"/>
          <w:szCs w:val="28"/>
          <w:highlight w:val="none"/>
          <w:u w:val="single"/>
        </w:rPr>
        <w:t>㎡、幼儿园</w:t>
      </w:r>
      <w:r>
        <w:rPr>
          <w:rFonts w:hint="eastAsia" w:ascii="宋体" w:hAnsi="宋体" w:eastAsia="宋体" w:cs="宋体"/>
          <w:sz w:val="28"/>
          <w:szCs w:val="28"/>
          <w:highlight w:val="none"/>
          <w:u w:val="single"/>
          <w:lang w:val="en-US" w:eastAsia="zh-CN"/>
        </w:rPr>
        <w:t>和</w:t>
      </w:r>
      <w:r>
        <w:rPr>
          <w:rFonts w:hint="eastAsia" w:ascii="宋体" w:hAnsi="宋体" w:eastAsia="宋体" w:cs="宋体"/>
          <w:sz w:val="28"/>
          <w:szCs w:val="28"/>
          <w:highlight w:val="none"/>
          <w:u w:val="single"/>
        </w:rPr>
        <w:t>小学建筑面积</w:t>
      </w:r>
      <w:r>
        <w:rPr>
          <w:rFonts w:hint="eastAsia" w:ascii="宋体" w:hAnsi="宋体" w:eastAsia="宋体" w:cs="宋体"/>
          <w:sz w:val="28"/>
          <w:szCs w:val="28"/>
          <w:highlight w:val="none"/>
          <w:u w:val="single"/>
          <w:lang w:val="en-US" w:eastAsia="zh-CN"/>
        </w:rPr>
        <w:t>约</w:t>
      </w:r>
      <w:r>
        <w:rPr>
          <w:rFonts w:hint="eastAsia" w:ascii="宋体" w:hAnsi="宋体" w:eastAsia="宋体" w:cs="宋体"/>
          <w:sz w:val="28"/>
          <w:szCs w:val="28"/>
          <w:highlight w:val="none"/>
          <w:u w:val="single"/>
        </w:rPr>
        <w:t>4039.20㎡，具体</w:t>
      </w:r>
      <w:r>
        <w:rPr>
          <w:rFonts w:hint="eastAsia" w:ascii="宋体" w:hAnsi="宋体" w:eastAsia="宋体" w:cs="宋体"/>
          <w:sz w:val="28"/>
          <w:szCs w:val="28"/>
          <w:highlight w:val="none"/>
          <w:u w:val="single"/>
          <w:lang w:val="en-US" w:eastAsia="zh-CN"/>
        </w:rPr>
        <w:t>服务内容</w:t>
      </w:r>
      <w:r>
        <w:rPr>
          <w:rFonts w:hint="eastAsia" w:ascii="宋体" w:hAnsi="宋体" w:eastAsia="宋体" w:cs="宋体"/>
          <w:sz w:val="28"/>
          <w:szCs w:val="28"/>
          <w:highlight w:val="none"/>
          <w:u w:val="single"/>
        </w:rPr>
        <w:t>详见</w:t>
      </w:r>
      <w:r>
        <w:rPr>
          <w:rFonts w:hint="eastAsia" w:ascii="宋体" w:hAnsi="宋体" w:eastAsia="宋体" w:cs="宋体"/>
          <w:sz w:val="28"/>
          <w:szCs w:val="28"/>
          <w:highlight w:val="none"/>
          <w:u w:val="single"/>
          <w:lang w:val="en-US" w:eastAsia="zh-CN"/>
        </w:rPr>
        <w:t>采购</w:t>
      </w:r>
      <w:r>
        <w:rPr>
          <w:rFonts w:hint="eastAsia" w:ascii="宋体" w:hAnsi="宋体" w:eastAsia="宋体" w:cs="宋体"/>
          <w:sz w:val="28"/>
          <w:szCs w:val="28"/>
          <w:highlight w:val="none"/>
          <w:u w:val="single"/>
        </w:rPr>
        <w:t>需求。</w:t>
      </w:r>
    </w:p>
    <w:p w14:paraId="142B610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u w:val="single"/>
        </w:rPr>
      </w:pPr>
      <w:r>
        <w:rPr>
          <w:rFonts w:hint="eastAsia" w:asciiTheme="minorEastAsia" w:hAnsiTheme="minorEastAsia" w:eastAsiaTheme="minorEastAsia" w:cstheme="minorEastAsia"/>
          <w:color w:val="auto"/>
          <w:sz w:val="28"/>
          <w:szCs w:val="28"/>
          <w:highlight w:val="none"/>
        </w:rPr>
        <w:t>合同履行期限：</w:t>
      </w:r>
      <w:r>
        <w:rPr>
          <w:rFonts w:hint="eastAsia" w:ascii="宋体" w:hAnsi="宋体" w:eastAsia="宋体" w:cs="宋体"/>
          <w:sz w:val="28"/>
          <w:szCs w:val="28"/>
          <w:u w:val="single"/>
        </w:rPr>
        <w:t>1+1+1年；</w:t>
      </w:r>
      <w:r>
        <w:rPr>
          <w:rFonts w:hint="eastAsia" w:ascii="宋体" w:hAnsi="宋体" w:eastAsia="宋体" w:cs="宋体"/>
          <w:sz w:val="28"/>
          <w:szCs w:val="28"/>
          <w:highlight w:val="none"/>
          <w:u w:val="single"/>
        </w:rPr>
        <w:t>合同一年一签，</w:t>
      </w:r>
      <w:r>
        <w:rPr>
          <w:rFonts w:hint="eastAsia" w:ascii="宋体" w:hAnsi="宋体" w:eastAsia="宋体" w:cs="宋体"/>
          <w:sz w:val="28"/>
          <w:szCs w:val="28"/>
          <w:highlight w:val="none"/>
          <w:u w:val="single"/>
          <w:lang w:eastAsia="zh-CN"/>
        </w:rPr>
        <w:t>中标人</w:t>
      </w:r>
      <w:r>
        <w:rPr>
          <w:rFonts w:hint="eastAsia" w:ascii="宋体" w:hAnsi="宋体" w:eastAsia="宋体" w:cs="宋体"/>
          <w:sz w:val="28"/>
          <w:szCs w:val="28"/>
          <w:highlight w:val="none"/>
          <w:u w:val="single"/>
        </w:rPr>
        <w:t>每年服务期满后，由业主委员会进行服务质量考核，考核达标可续签下一年合同，收费标准保持不变，以此类推</w:t>
      </w:r>
      <w:r>
        <w:rPr>
          <w:rFonts w:hint="eastAsia" w:ascii="宋体" w:hAnsi="宋体" w:eastAsia="宋体" w:cs="宋体"/>
          <w:sz w:val="28"/>
          <w:szCs w:val="28"/>
          <w:highlight w:val="none"/>
          <w:u w:val="single"/>
          <w:lang w:val="en-US" w:eastAsia="zh-CN"/>
        </w:rPr>
        <w:t>至第三年；考核不达标采购人有权终止合同。</w:t>
      </w:r>
      <w:r>
        <w:rPr>
          <w:rFonts w:hint="eastAsia" w:ascii="宋体" w:hAnsi="宋体" w:eastAsia="宋体" w:cs="宋体"/>
          <w:sz w:val="28"/>
          <w:szCs w:val="28"/>
          <w:highlight w:val="none"/>
          <w:u w:val="single"/>
        </w:rPr>
        <w:t>具体以实际交接及考核结果为准。</w:t>
      </w:r>
      <w:r>
        <w:rPr>
          <w:rFonts w:hint="eastAsia" w:ascii="宋体" w:hAnsi="宋体" w:eastAsia="宋体" w:cs="宋体"/>
          <w:sz w:val="28"/>
          <w:szCs w:val="28"/>
          <w:highlight w:val="none"/>
          <w:u w:val="single"/>
          <w:lang w:val="en-US" w:eastAsia="zh-CN"/>
        </w:rPr>
        <w:t>三年</w:t>
      </w:r>
      <w:r>
        <w:rPr>
          <w:rFonts w:hint="eastAsia" w:ascii="宋体" w:hAnsi="宋体" w:eastAsia="宋体" w:cs="宋体"/>
          <w:sz w:val="28"/>
          <w:szCs w:val="28"/>
          <w:highlight w:val="none"/>
          <w:u w:val="single"/>
        </w:rPr>
        <w:t>物业服务合同期限届满，</w:t>
      </w:r>
      <w:r>
        <w:rPr>
          <w:rFonts w:hint="eastAsia" w:ascii="宋体" w:hAnsi="宋体" w:eastAsia="宋体" w:cs="宋体"/>
          <w:sz w:val="28"/>
          <w:szCs w:val="28"/>
          <w:highlight w:val="none"/>
          <w:u w:val="single"/>
          <w:lang w:val="en-US" w:eastAsia="zh-CN"/>
        </w:rPr>
        <w:t>根据业主大会表决结果确定是否续签合同，若表决不续签则合同终止</w:t>
      </w:r>
      <w:r>
        <w:rPr>
          <w:rFonts w:hint="eastAsia" w:ascii="宋体" w:hAnsi="宋体" w:eastAsia="宋体" w:cs="宋体"/>
          <w:sz w:val="28"/>
          <w:szCs w:val="28"/>
          <w:u w:val="single"/>
          <w:lang w:val="en-US" w:eastAsia="zh-CN"/>
        </w:rPr>
        <w:t>。若</w:t>
      </w:r>
      <w:r>
        <w:rPr>
          <w:rFonts w:hint="eastAsia" w:ascii="宋体" w:hAnsi="宋体" w:eastAsia="宋体" w:cs="宋体"/>
          <w:sz w:val="28"/>
          <w:szCs w:val="28"/>
          <w:u w:val="single"/>
        </w:rPr>
        <w:t>业主大会没有完成选聘工作</w:t>
      </w:r>
      <w:r>
        <w:rPr>
          <w:rFonts w:hint="eastAsia" w:ascii="宋体" w:hAnsi="宋体" w:eastAsia="宋体" w:cs="宋体"/>
          <w:sz w:val="28"/>
          <w:szCs w:val="28"/>
          <w:highlight w:val="none"/>
          <w:u w:val="single"/>
        </w:rPr>
        <w:t>且</w:t>
      </w:r>
      <w:r>
        <w:rPr>
          <w:rFonts w:hint="eastAsia" w:ascii="宋体" w:hAnsi="宋体" w:eastAsia="宋体" w:cs="宋体"/>
          <w:sz w:val="28"/>
          <w:szCs w:val="28"/>
          <w:u w:val="single"/>
        </w:rPr>
        <w:t>成交人按照原合同约定继续提供服务的，在物业服务标准和服务费不变的前提下，属于事实服务关系，物业服务合同的期限截止到业主大会完成</w:t>
      </w:r>
      <w:r>
        <w:rPr>
          <w:rFonts w:hint="eastAsia" w:ascii="宋体" w:hAnsi="宋体" w:eastAsia="宋体" w:cs="宋体"/>
          <w:sz w:val="28"/>
          <w:szCs w:val="28"/>
          <w:u w:val="single"/>
          <w:lang w:eastAsia="zh-CN"/>
        </w:rPr>
        <w:t>，</w:t>
      </w:r>
      <w:r>
        <w:rPr>
          <w:rFonts w:hint="eastAsia" w:ascii="宋体" w:hAnsi="宋体" w:eastAsia="宋体" w:cs="宋体"/>
          <w:sz w:val="28"/>
          <w:szCs w:val="28"/>
          <w:highlight w:val="none"/>
          <w:u w:val="single"/>
          <w:lang w:val="en-US" w:eastAsia="zh-CN"/>
        </w:rPr>
        <w:t>新的业主委员会选举</w:t>
      </w:r>
      <w:r>
        <w:rPr>
          <w:rFonts w:hint="eastAsia" w:ascii="宋体" w:hAnsi="宋体" w:eastAsia="宋体" w:cs="宋体"/>
          <w:sz w:val="28"/>
          <w:szCs w:val="28"/>
          <w:highlight w:val="none"/>
          <w:u w:val="single"/>
        </w:rPr>
        <w:t>或</w:t>
      </w:r>
      <w:r>
        <w:rPr>
          <w:rFonts w:hint="eastAsia" w:ascii="宋体" w:hAnsi="宋体" w:eastAsia="宋体" w:cs="宋体"/>
          <w:sz w:val="28"/>
          <w:szCs w:val="28"/>
          <w:highlight w:val="none"/>
          <w:u w:val="single"/>
          <w:lang w:val="en-US" w:eastAsia="zh-CN"/>
        </w:rPr>
        <w:t>选取</w:t>
      </w:r>
      <w:r>
        <w:rPr>
          <w:rFonts w:hint="eastAsia" w:ascii="宋体" w:hAnsi="宋体" w:eastAsia="宋体" w:cs="宋体"/>
          <w:sz w:val="28"/>
          <w:szCs w:val="28"/>
          <w:highlight w:val="none"/>
          <w:u w:val="single"/>
        </w:rPr>
        <w:t>出新</w:t>
      </w:r>
      <w:r>
        <w:rPr>
          <w:rFonts w:hint="eastAsia" w:ascii="宋体" w:hAnsi="宋体" w:eastAsia="宋体" w:cs="宋体"/>
          <w:sz w:val="28"/>
          <w:szCs w:val="28"/>
          <w:highlight w:val="none"/>
          <w:u w:val="single"/>
          <w:lang w:val="en-US" w:eastAsia="zh-CN"/>
        </w:rPr>
        <w:t>的中标（成交）投标人并</w:t>
      </w:r>
      <w:r>
        <w:rPr>
          <w:rFonts w:hint="eastAsia" w:ascii="宋体" w:hAnsi="宋体" w:eastAsia="宋体" w:cs="宋体"/>
          <w:sz w:val="28"/>
          <w:szCs w:val="28"/>
          <w:highlight w:val="none"/>
          <w:u w:val="single"/>
        </w:rPr>
        <w:t>完成交接</w:t>
      </w:r>
      <w:r>
        <w:rPr>
          <w:rFonts w:hint="eastAsia" w:ascii="宋体" w:hAnsi="宋体" w:eastAsia="宋体" w:cs="宋体"/>
          <w:sz w:val="28"/>
          <w:szCs w:val="28"/>
          <w:highlight w:val="none"/>
          <w:u w:val="single"/>
          <w:lang w:val="en-US" w:eastAsia="zh-CN"/>
        </w:rPr>
        <w:t>和</w:t>
      </w:r>
      <w:r>
        <w:rPr>
          <w:rFonts w:hint="eastAsia" w:ascii="宋体" w:hAnsi="宋体" w:eastAsia="宋体" w:cs="宋体"/>
          <w:sz w:val="28"/>
          <w:szCs w:val="28"/>
          <w:highlight w:val="none"/>
          <w:u w:val="single"/>
        </w:rPr>
        <w:t>勘验无误后止。</w:t>
      </w:r>
    </w:p>
    <w:p w14:paraId="5CD11E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本项目是否接受联合体：</w:t>
      </w:r>
      <w:r>
        <w:rPr>
          <w:rFonts w:hint="eastAsia" w:asciiTheme="minorEastAsia" w:hAnsiTheme="minorEastAsia" w:eastAsiaTheme="minorEastAsia" w:cstheme="minorEastAsia"/>
          <w:color w:val="auto"/>
          <w:sz w:val="28"/>
          <w:szCs w:val="28"/>
          <w:highlight w:val="none"/>
          <w:u w:val="single"/>
        </w:rPr>
        <w:t>否</w:t>
      </w:r>
    </w:p>
    <w:p w14:paraId="7A1E45FE">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bCs w:val="0"/>
          <w:color w:val="auto"/>
          <w:sz w:val="28"/>
          <w:szCs w:val="28"/>
          <w:highlight w:val="none"/>
          <w:lang w:val="en-US" w:eastAsia="zh-CN"/>
        </w:rPr>
      </w:pPr>
      <w:bookmarkStart w:id="45" w:name="_Toc35393791"/>
      <w:bookmarkStart w:id="46" w:name="_Toc28359080"/>
      <w:bookmarkStart w:id="47" w:name="_Toc14006"/>
      <w:bookmarkStart w:id="48" w:name="_Toc16967"/>
      <w:bookmarkStart w:id="49" w:name="_Toc35393622"/>
      <w:bookmarkStart w:id="50" w:name="_Toc30977"/>
      <w:bookmarkStart w:id="51" w:name="_Toc12328"/>
      <w:bookmarkStart w:id="52" w:name="_Toc28359003"/>
      <w:bookmarkStart w:id="53" w:name="_Toc30997"/>
      <w:bookmarkStart w:id="54" w:name="_Toc17838"/>
      <w:r>
        <w:rPr>
          <w:rFonts w:hint="eastAsia" w:asciiTheme="minorEastAsia" w:hAnsiTheme="minorEastAsia" w:eastAsiaTheme="minorEastAsia" w:cstheme="minorEastAsia"/>
          <w:b w:val="0"/>
          <w:bCs w:val="0"/>
          <w:color w:val="auto"/>
          <w:sz w:val="28"/>
          <w:szCs w:val="28"/>
          <w:highlight w:val="none"/>
          <w:lang w:val="en-US" w:eastAsia="zh-CN"/>
        </w:rPr>
        <w:t>二、申请人的资格要求</w:t>
      </w:r>
      <w:bookmarkEnd w:id="45"/>
      <w:bookmarkEnd w:id="46"/>
      <w:bookmarkEnd w:id="47"/>
      <w:bookmarkEnd w:id="48"/>
      <w:bookmarkEnd w:id="49"/>
      <w:bookmarkEnd w:id="50"/>
      <w:bookmarkEnd w:id="51"/>
      <w:bookmarkEnd w:id="52"/>
      <w:bookmarkEnd w:id="53"/>
      <w:bookmarkEnd w:id="54"/>
    </w:p>
    <w:p w14:paraId="2DC1FC1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1.满足《中华人民共和国政府采购法》第二十二条规定；</w:t>
      </w:r>
    </w:p>
    <w:p w14:paraId="384A47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rPr>
        <w:t>2.落实政府采购政策需满足的资格要求：</w:t>
      </w:r>
      <w:r>
        <w:rPr>
          <w:rFonts w:hint="eastAsia" w:ascii="宋体" w:hAnsi="宋体" w:eastAsia="宋体" w:cs="宋体"/>
          <w:sz w:val="28"/>
          <w:szCs w:val="28"/>
          <w:lang w:val="en-US" w:eastAsia="zh-CN"/>
        </w:rPr>
        <w:t>无</w:t>
      </w:r>
      <w:r>
        <w:rPr>
          <w:rFonts w:hint="eastAsia" w:ascii="宋体" w:hAnsi="宋体" w:eastAsia="宋体" w:cs="宋体"/>
          <w:sz w:val="28"/>
          <w:szCs w:val="28"/>
        </w:rPr>
        <w:t>。</w:t>
      </w:r>
    </w:p>
    <w:p w14:paraId="6E6CA9E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3.本项目的特定资格要求：</w:t>
      </w:r>
    </w:p>
    <w:p w14:paraId="7DFF6396">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投标人须提供物业管理部门出具的物业企业备案证明材料，</w:t>
      </w:r>
      <w:r>
        <w:rPr>
          <w:rFonts w:hint="eastAsia" w:ascii="宋体" w:hAnsi="宋体" w:eastAsia="宋体" w:cs="宋体"/>
          <w:color w:val="auto"/>
          <w:sz w:val="28"/>
          <w:szCs w:val="28"/>
          <w:highlight w:val="none"/>
        </w:rPr>
        <w:t>外部入阜企业</w:t>
      </w:r>
      <w:r>
        <w:rPr>
          <w:rFonts w:hint="eastAsia" w:ascii="宋体" w:hAnsi="宋体" w:eastAsia="宋体" w:cs="宋体"/>
          <w:color w:val="auto"/>
          <w:sz w:val="28"/>
          <w:szCs w:val="28"/>
          <w:highlight w:val="none"/>
          <w:lang w:val="en-US" w:eastAsia="zh-CN"/>
        </w:rPr>
        <w:t>成交后</w:t>
      </w:r>
      <w:r>
        <w:rPr>
          <w:rFonts w:hint="eastAsia" w:ascii="宋体" w:hAnsi="宋体" w:eastAsia="宋体" w:cs="宋体"/>
          <w:color w:val="auto"/>
          <w:sz w:val="28"/>
          <w:szCs w:val="28"/>
          <w:highlight w:val="none"/>
        </w:rPr>
        <w:t>需要</w:t>
      </w:r>
      <w:r>
        <w:rPr>
          <w:rFonts w:hint="eastAsia" w:ascii="宋体" w:hAnsi="宋体" w:eastAsia="宋体" w:cs="宋体"/>
          <w:color w:val="auto"/>
          <w:sz w:val="28"/>
          <w:szCs w:val="28"/>
          <w:highlight w:val="none"/>
          <w:lang w:val="en-US" w:eastAsia="zh-CN"/>
        </w:rPr>
        <w:t>提供</w:t>
      </w:r>
      <w:r>
        <w:rPr>
          <w:rFonts w:hint="eastAsia" w:ascii="宋体" w:hAnsi="宋体" w:eastAsia="宋体" w:cs="宋体"/>
          <w:color w:val="auto"/>
          <w:sz w:val="28"/>
          <w:szCs w:val="28"/>
          <w:highlight w:val="none"/>
        </w:rPr>
        <w:t>阜阳市物业主管部门</w:t>
      </w:r>
      <w:r>
        <w:rPr>
          <w:rFonts w:hint="eastAsia" w:ascii="宋体" w:hAnsi="宋体" w:eastAsia="宋体" w:cs="宋体"/>
          <w:color w:val="auto"/>
          <w:sz w:val="28"/>
          <w:szCs w:val="28"/>
          <w:highlight w:val="none"/>
          <w:lang w:val="en-US" w:eastAsia="zh-CN"/>
        </w:rPr>
        <w:t>出具的</w:t>
      </w:r>
      <w:r>
        <w:rPr>
          <w:rFonts w:hint="eastAsia" w:ascii="宋体" w:hAnsi="宋体" w:eastAsia="宋体" w:cs="宋体"/>
          <w:color w:val="auto"/>
          <w:sz w:val="28"/>
          <w:szCs w:val="28"/>
          <w:highlight w:val="none"/>
        </w:rPr>
        <w:t>物业企业备案</w:t>
      </w:r>
      <w:r>
        <w:rPr>
          <w:rFonts w:hint="eastAsia" w:ascii="宋体" w:hAnsi="宋体" w:eastAsia="宋体" w:cs="宋体"/>
          <w:color w:val="auto"/>
          <w:sz w:val="28"/>
          <w:szCs w:val="28"/>
          <w:highlight w:val="none"/>
          <w:lang w:val="en-US" w:eastAsia="zh-CN"/>
        </w:rPr>
        <w:t>证明材料。以上备案证明材料在签署合同时提供原件备查。</w:t>
      </w:r>
    </w:p>
    <w:p w14:paraId="60C45B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default" w:asciiTheme="minorEastAsia" w:hAnsiTheme="minorEastAsia" w:eastAsiaTheme="minorEastAsia" w:cstheme="minorEastAsia"/>
          <w:i/>
          <w:iCs/>
          <w:color w:val="auto"/>
          <w:sz w:val="28"/>
          <w:szCs w:val="28"/>
          <w:highlight w:val="none"/>
          <w:u w:val="single"/>
          <w:lang w:val="en-US"/>
        </w:rPr>
      </w:pPr>
      <w:r>
        <w:rPr>
          <w:rFonts w:hint="eastAsia" w:ascii="宋体" w:hAnsi="宋体" w:eastAsia="宋体" w:cs="宋体"/>
          <w:color w:val="auto"/>
          <w:sz w:val="28"/>
          <w:szCs w:val="28"/>
          <w:highlight w:val="none"/>
          <w:lang w:val="en-US" w:eastAsia="zh-CN"/>
        </w:rPr>
        <w:t>（2）近三年内无安徽省内的消防主管部门处罚记录，近一年内无安徽省内物业主管部门任何处罚记录（不含警告），近五年内安徽省内无黑榜记录，</w:t>
      </w:r>
      <w:r>
        <w:rPr>
          <w:rFonts w:hint="eastAsia" w:ascii="宋体" w:hAnsi="宋体" w:eastAsia="宋体" w:cs="宋体"/>
          <w:b/>
          <w:bCs/>
          <w:color w:val="auto"/>
          <w:sz w:val="28"/>
          <w:szCs w:val="28"/>
          <w:highlight w:val="none"/>
          <w:lang w:val="en-US" w:eastAsia="zh-CN"/>
        </w:rPr>
        <w:t>投标文件中提供承诺函，格式自拟，不得虚假承诺，否则投标无效。此项内容在本次采购活动中接受举报，但不得无事实依据的恶意举报，</w:t>
      </w:r>
      <w:r>
        <w:rPr>
          <w:rFonts w:hint="eastAsia" w:ascii="宋体" w:hAnsi="宋体" w:eastAsia="宋体" w:cs="宋体"/>
          <w:color w:val="auto"/>
          <w:sz w:val="28"/>
          <w:szCs w:val="28"/>
          <w:highlight w:val="none"/>
          <w:lang w:val="en-US" w:eastAsia="zh-CN"/>
        </w:rPr>
        <w:t>以加盖公章的处罚文件为准。（时间均以投标文件提交截止之日为追溯节点。）</w:t>
      </w:r>
    </w:p>
    <w:p w14:paraId="0219C750">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三、获取招标文件</w:t>
      </w:r>
      <w:bookmarkEnd w:id="37"/>
      <w:bookmarkEnd w:id="38"/>
      <w:bookmarkEnd w:id="39"/>
      <w:bookmarkEnd w:id="40"/>
      <w:bookmarkEnd w:id="41"/>
      <w:bookmarkEnd w:id="42"/>
      <w:bookmarkEnd w:id="43"/>
      <w:bookmarkEnd w:id="44"/>
    </w:p>
    <w:p w14:paraId="703E04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时间：</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color w:val="auto"/>
          <w:sz w:val="28"/>
          <w:szCs w:val="28"/>
          <w:highlight w:val="none"/>
          <w:u w:val="single"/>
        </w:rPr>
        <w:t>年</w:t>
      </w:r>
      <w:r>
        <w:rPr>
          <w:rFonts w:hint="eastAsia" w:asciiTheme="minorEastAsia" w:hAnsiTheme="minorEastAsia" w:eastAsiaTheme="minorEastAsia" w:cstheme="minorEastAsia"/>
          <w:color w:val="auto"/>
          <w:sz w:val="28"/>
          <w:szCs w:val="28"/>
          <w:highlight w:val="none"/>
          <w:u w:val="single"/>
          <w:lang w:val="en-US" w:eastAsia="zh-CN"/>
        </w:rPr>
        <w:t>7</w:t>
      </w:r>
      <w:r>
        <w:rPr>
          <w:rFonts w:hint="eastAsia" w:asciiTheme="minorEastAsia" w:hAnsiTheme="minorEastAsia" w:eastAsiaTheme="minorEastAsia" w:cstheme="minorEastAsia"/>
          <w:color w:val="auto"/>
          <w:sz w:val="28"/>
          <w:szCs w:val="28"/>
          <w:highlight w:val="none"/>
          <w:u w:val="single"/>
        </w:rPr>
        <w:t>月</w:t>
      </w:r>
      <w:r>
        <w:rPr>
          <w:rFonts w:hint="eastAsia" w:asciiTheme="minorEastAsia" w:hAnsiTheme="minorEastAsia" w:eastAsiaTheme="minorEastAsia" w:cstheme="minorEastAsia"/>
          <w:color w:val="auto"/>
          <w:sz w:val="28"/>
          <w:szCs w:val="28"/>
          <w:highlight w:val="none"/>
          <w:u w:val="single"/>
          <w:lang w:val="en-US" w:eastAsia="zh-CN"/>
        </w:rPr>
        <w:t>27</w:t>
      </w:r>
      <w:r>
        <w:rPr>
          <w:rFonts w:hint="eastAsia" w:asciiTheme="minorEastAsia" w:hAnsiTheme="minorEastAsia" w:eastAsiaTheme="minorEastAsia" w:cstheme="minorEastAsia"/>
          <w:color w:val="auto"/>
          <w:sz w:val="28"/>
          <w:szCs w:val="28"/>
          <w:highlight w:val="none"/>
          <w:u w:val="single"/>
        </w:rPr>
        <w:t>日</w:t>
      </w:r>
      <w:r>
        <w:rPr>
          <w:rFonts w:hint="eastAsia" w:asciiTheme="minorEastAsia" w:hAnsiTheme="minorEastAsia" w:eastAsiaTheme="minorEastAsia" w:cstheme="minorEastAsia"/>
          <w:color w:val="auto"/>
          <w:sz w:val="28"/>
          <w:szCs w:val="28"/>
          <w:highlight w:val="none"/>
        </w:rPr>
        <w:t>至</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color w:val="auto"/>
          <w:sz w:val="28"/>
          <w:szCs w:val="28"/>
          <w:highlight w:val="none"/>
          <w:u w:val="single"/>
        </w:rPr>
        <w:t>年</w:t>
      </w:r>
      <w:r>
        <w:rPr>
          <w:rFonts w:hint="eastAsia" w:asciiTheme="minorEastAsia" w:hAnsiTheme="minorEastAsia" w:eastAsiaTheme="minorEastAsia" w:cstheme="minorEastAsia"/>
          <w:color w:val="auto"/>
          <w:sz w:val="28"/>
          <w:szCs w:val="28"/>
          <w:highlight w:val="none"/>
          <w:u w:val="single"/>
          <w:lang w:val="en-US" w:eastAsia="zh-CN"/>
        </w:rPr>
        <w:t>8</w:t>
      </w:r>
      <w:r>
        <w:rPr>
          <w:rFonts w:hint="eastAsia" w:asciiTheme="minorEastAsia" w:hAnsiTheme="minorEastAsia" w:eastAsiaTheme="minorEastAsia" w:cstheme="minorEastAsia"/>
          <w:color w:val="auto"/>
          <w:sz w:val="28"/>
          <w:szCs w:val="28"/>
          <w:highlight w:val="none"/>
          <w:u w:val="single"/>
        </w:rPr>
        <w:t>月</w:t>
      </w:r>
      <w:r>
        <w:rPr>
          <w:rFonts w:hint="eastAsia" w:asciiTheme="minorEastAsia" w:hAnsiTheme="minorEastAsia" w:eastAsiaTheme="minorEastAsia" w:cstheme="minorEastAsia"/>
          <w:color w:val="auto"/>
          <w:sz w:val="28"/>
          <w:szCs w:val="28"/>
          <w:highlight w:val="none"/>
          <w:u w:val="single"/>
          <w:lang w:val="en-US" w:eastAsia="zh-CN"/>
        </w:rPr>
        <w:t>7</w:t>
      </w:r>
      <w:r>
        <w:rPr>
          <w:rFonts w:hint="eastAsia" w:asciiTheme="minorEastAsia" w:hAnsiTheme="minorEastAsia" w:eastAsiaTheme="minorEastAsia" w:cstheme="minorEastAsia"/>
          <w:color w:val="auto"/>
          <w:sz w:val="28"/>
          <w:szCs w:val="28"/>
          <w:highlight w:val="none"/>
          <w:u w:val="single"/>
        </w:rPr>
        <w:t>日</w:t>
      </w:r>
      <w:r>
        <w:rPr>
          <w:rFonts w:hint="eastAsia" w:asciiTheme="minorEastAsia" w:hAnsiTheme="minorEastAsia" w:eastAsiaTheme="minorEastAsia" w:cstheme="minorEastAsia"/>
          <w:color w:val="auto"/>
          <w:sz w:val="28"/>
          <w:szCs w:val="28"/>
          <w:highlight w:val="none"/>
          <w:u w:val="single"/>
          <w:lang w:val="en-US" w:eastAsia="zh-CN"/>
        </w:rPr>
        <w:t>17时30分</w:t>
      </w:r>
      <w:r>
        <w:rPr>
          <w:rFonts w:hint="eastAsia" w:asciiTheme="minorEastAsia" w:hAnsiTheme="minorEastAsia" w:eastAsiaTheme="minorEastAsia" w:cstheme="minorEastAsia"/>
          <w:i/>
          <w:iCs/>
          <w:color w:val="auto"/>
          <w:sz w:val="28"/>
          <w:szCs w:val="28"/>
          <w:highlight w:val="none"/>
          <w:lang w:val="en-US" w:eastAsia="zh-CN"/>
        </w:rPr>
        <w:t>（提供期限自本公告发布之日起不得少于5个工作日）</w:t>
      </w:r>
    </w:p>
    <w:p w14:paraId="7712B8C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宋体" w:hAnsi="宋体" w:eastAsia="宋体" w:cs="宋体"/>
          <w:b w:val="0"/>
          <w:bCs w:val="0"/>
          <w:sz w:val="28"/>
          <w:szCs w:val="28"/>
          <w:highlight w:val="none"/>
          <w:lang w:val="en-US" w:eastAsia="zh-CN"/>
        </w:rPr>
      </w:pPr>
      <w:r>
        <w:rPr>
          <w:rFonts w:hint="eastAsia" w:ascii="宋体" w:hAnsi="宋体" w:eastAsia="宋体" w:cs="宋体"/>
          <w:sz w:val="28"/>
          <w:szCs w:val="28"/>
          <w:highlight w:val="none"/>
        </w:rPr>
        <w:t>方式：</w:t>
      </w:r>
      <w:r>
        <w:rPr>
          <w:rFonts w:hint="eastAsia" w:ascii="宋体" w:hAnsi="宋体" w:eastAsia="宋体" w:cs="宋体"/>
          <w:b w:val="0"/>
          <w:bCs w:val="0"/>
          <w:sz w:val="28"/>
          <w:szCs w:val="28"/>
          <w:highlight w:val="none"/>
          <w:lang w:val="en-US" w:eastAsia="zh-CN"/>
        </w:rPr>
        <w:t>招标文件发布后，投标人应当通过“盛唐集团招标采购交易平台”（网址：http://stjt.ybbid.com）下载招标文件</w:t>
      </w:r>
    </w:p>
    <w:p w14:paraId="2E3144EC">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bCs w:val="0"/>
          <w:color w:val="auto"/>
          <w:sz w:val="28"/>
          <w:szCs w:val="28"/>
          <w:highlight w:val="none"/>
          <w:lang w:val="en-US" w:eastAsia="zh-CN"/>
        </w:rPr>
      </w:pPr>
      <w:bookmarkStart w:id="55" w:name="_Toc28359005"/>
      <w:bookmarkStart w:id="56" w:name="_Toc28359082"/>
      <w:bookmarkStart w:id="57" w:name="_Toc19303"/>
      <w:bookmarkStart w:id="58" w:name="_Toc29529"/>
      <w:bookmarkStart w:id="59" w:name="_Toc32480"/>
      <w:bookmarkStart w:id="60" w:name="_Toc18471"/>
      <w:bookmarkStart w:id="61" w:name="_Toc22436"/>
      <w:bookmarkStart w:id="62" w:name="_Toc35393624"/>
      <w:bookmarkStart w:id="63" w:name="_Toc35393793"/>
      <w:bookmarkStart w:id="64" w:name="_Toc23054"/>
      <w:r>
        <w:rPr>
          <w:rFonts w:hint="eastAsia" w:asciiTheme="minorEastAsia" w:hAnsiTheme="minorEastAsia" w:eastAsiaTheme="minorEastAsia" w:cstheme="minorEastAsia"/>
          <w:b w:val="0"/>
          <w:bCs w:val="0"/>
          <w:color w:val="auto"/>
          <w:sz w:val="28"/>
          <w:szCs w:val="28"/>
          <w:highlight w:val="none"/>
          <w:lang w:val="en-US" w:eastAsia="zh-CN"/>
        </w:rPr>
        <w:t>四、提交投标文件</w:t>
      </w:r>
      <w:bookmarkEnd w:id="55"/>
      <w:bookmarkEnd w:id="56"/>
      <w:r>
        <w:rPr>
          <w:rFonts w:hint="eastAsia" w:asciiTheme="minorEastAsia" w:hAnsiTheme="minorEastAsia" w:eastAsiaTheme="minorEastAsia" w:cstheme="minorEastAsia"/>
          <w:b w:val="0"/>
          <w:bCs w:val="0"/>
          <w:color w:val="auto"/>
          <w:sz w:val="28"/>
          <w:szCs w:val="28"/>
          <w:highlight w:val="none"/>
          <w:lang w:val="en-US" w:eastAsia="zh-CN"/>
        </w:rPr>
        <w:t>截止时间、开标时间和地点</w:t>
      </w:r>
      <w:bookmarkEnd w:id="57"/>
      <w:bookmarkEnd w:id="58"/>
      <w:bookmarkEnd w:id="59"/>
      <w:bookmarkEnd w:id="60"/>
      <w:bookmarkEnd w:id="61"/>
      <w:bookmarkEnd w:id="62"/>
      <w:bookmarkEnd w:id="63"/>
      <w:bookmarkEnd w:id="64"/>
    </w:p>
    <w:p w14:paraId="75E302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宋体" w:hAnsi="宋体" w:eastAsia="宋体" w:cs="宋体"/>
          <w:iCs/>
          <w:sz w:val="28"/>
          <w:szCs w:val="28"/>
          <w:highlight w:val="none"/>
          <w:lang w:val="en-US" w:eastAsia="zh-CN"/>
        </w:rPr>
      </w:pPr>
      <w:bookmarkStart w:id="65" w:name="_Toc3709"/>
      <w:bookmarkStart w:id="66" w:name="_Toc24721"/>
      <w:bookmarkStart w:id="67" w:name="_Toc27139"/>
      <w:bookmarkStart w:id="68" w:name="_Toc28420"/>
      <w:bookmarkStart w:id="69" w:name="_Toc35393794"/>
      <w:bookmarkStart w:id="70" w:name="_Toc9131"/>
      <w:bookmarkStart w:id="71" w:name="_Toc28359084"/>
      <w:bookmarkStart w:id="72" w:name="_Toc4997"/>
      <w:bookmarkStart w:id="73" w:name="_Toc28359007"/>
      <w:bookmarkStart w:id="74" w:name="_Toc35393625"/>
      <w:r>
        <w:rPr>
          <w:rFonts w:hint="eastAsia" w:ascii="宋体" w:hAnsi="宋体" w:eastAsia="宋体" w:cs="宋体"/>
          <w:iCs/>
          <w:sz w:val="28"/>
          <w:szCs w:val="28"/>
          <w:highlight w:val="none"/>
          <w:lang w:val="en-US" w:eastAsia="zh-CN"/>
        </w:rPr>
        <w:t>投标文件递交截止时间：2026年8月17日9时30分（北京时间）。</w:t>
      </w:r>
    </w:p>
    <w:p w14:paraId="64618AB0">
      <w:pPr>
        <w:pStyle w:val="3"/>
        <w:keepNext/>
        <w:keepLines/>
        <w:pageBreakBefore w:val="0"/>
        <w:widowControl w:val="0"/>
        <w:kinsoku/>
        <w:wordWrap/>
        <w:overflowPunct/>
        <w:topLinePunct w:val="0"/>
        <w:autoSpaceDE/>
        <w:autoSpaceDN/>
        <w:bidi w:val="0"/>
        <w:adjustRightInd/>
        <w:snapToGrid/>
        <w:spacing w:before="0" w:after="0" w:line="360" w:lineRule="auto"/>
        <w:ind w:firstLine="560" w:firstLineChars="200"/>
        <w:textAlignment w:val="auto"/>
        <w:rPr>
          <w:rFonts w:hint="eastAsia" w:ascii="宋体" w:hAnsi="宋体" w:eastAsia="宋体" w:cs="宋体"/>
          <w:iCs/>
          <w:sz w:val="28"/>
          <w:szCs w:val="28"/>
          <w:highlight w:val="none"/>
        </w:rPr>
      </w:pPr>
      <w:r>
        <w:rPr>
          <w:rFonts w:hint="eastAsia" w:ascii="宋体" w:hAnsi="宋体" w:eastAsia="宋体" w:cs="宋体"/>
          <w:b w:val="0"/>
          <w:bCs w:val="0"/>
          <w:iCs/>
          <w:sz w:val="28"/>
          <w:szCs w:val="28"/>
          <w:highlight w:val="none"/>
          <w:lang w:val="en-US" w:eastAsia="zh-CN"/>
        </w:rPr>
        <w:t>投标文件递交方式：投标人应在投标截止时间前通过“盛唐集团招标采购交易平台”（网址：</w:t>
      </w:r>
      <w:r>
        <w:rPr>
          <w:rFonts w:hint="eastAsia" w:ascii="宋体" w:hAnsi="宋体" w:eastAsia="宋体" w:cs="宋体"/>
          <w:b w:val="0"/>
          <w:bCs w:val="0"/>
          <w:iCs/>
          <w:sz w:val="28"/>
          <w:szCs w:val="28"/>
          <w:highlight w:val="none"/>
          <w:lang w:val="en-US" w:eastAsia="zh-CN"/>
        </w:rPr>
        <w:fldChar w:fldCharType="begin"/>
      </w:r>
      <w:r>
        <w:rPr>
          <w:rFonts w:hint="eastAsia" w:ascii="宋体" w:hAnsi="宋体" w:eastAsia="宋体" w:cs="宋体"/>
          <w:b w:val="0"/>
          <w:bCs w:val="0"/>
          <w:iCs/>
          <w:sz w:val="28"/>
          <w:szCs w:val="28"/>
          <w:highlight w:val="none"/>
          <w:lang w:val="en-US" w:eastAsia="zh-CN"/>
        </w:rPr>
        <w:instrText xml:space="preserve"> HYPERLINK "http://stjt.ybbid.com" </w:instrText>
      </w:r>
      <w:r>
        <w:rPr>
          <w:rFonts w:hint="eastAsia" w:ascii="宋体" w:hAnsi="宋体" w:eastAsia="宋体" w:cs="宋体"/>
          <w:b w:val="0"/>
          <w:bCs w:val="0"/>
          <w:iCs/>
          <w:sz w:val="28"/>
          <w:szCs w:val="28"/>
          <w:highlight w:val="none"/>
          <w:lang w:val="en-US" w:eastAsia="zh-CN"/>
        </w:rPr>
        <w:fldChar w:fldCharType="separate"/>
      </w:r>
      <w:r>
        <w:rPr>
          <w:rFonts w:hint="eastAsia" w:ascii="宋体" w:hAnsi="宋体" w:eastAsia="宋体" w:cs="宋体"/>
          <w:b w:val="0"/>
          <w:bCs w:val="0"/>
          <w:iCs/>
          <w:sz w:val="28"/>
          <w:szCs w:val="28"/>
          <w:highlight w:val="none"/>
          <w:lang w:val="en-US" w:eastAsia="zh-CN"/>
        </w:rPr>
        <w:t>http://stjt.ybbid.com</w:t>
      </w:r>
      <w:r>
        <w:rPr>
          <w:rFonts w:hint="eastAsia" w:ascii="宋体" w:hAnsi="宋体" w:eastAsia="宋体" w:cs="宋体"/>
          <w:b w:val="0"/>
          <w:bCs w:val="0"/>
          <w:iCs/>
          <w:sz w:val="28"/>
          <w:szCs w:val="28"/>
          <w:highlight w:val="none"/>
          <w:lang w:val="en-US" w:eastAsia="zh-CN"/>
        </w:rPr>
        <w:fldChar w:fldCharType="end"/>
      </w:r>
      <w:r>
        <w:rPr>
          <w:rFonts w:hint="eastAsia" w:ascii="宋体" w:hAnsi="宋体" w:eastAsia="宋体" w:cs="宋体"/>
          <w:b w:val="0"/>
          <w:bCs w:val="0"/>
          <w:iCs/>
          <w:sz w:val="28"/>
          <w:szCs w:val="28"/>
          <w:highlight w:val="none"/>
          <w:lang w:val="en-US" w:eastAsia="zh-CN"/>
        </w:rPr>
        <w:t>）递交电子投标文件</w:t>
      </w:r>
      <w:r>
        <w:rPr>
          <w:rFonts w:hint="eastAsia" w:ascii="宋体" w:hAnsi="宋体" w:eastAsia="宋体" w:cs="宋体"/>
          <w:b w:val="0"/>
          <w:bCs w:val="0"/>
          <w:iCs/>
          <w:sz w:val="28"/>
          <w:szCs w:val="28"/>
          <w:highlight w:val="none"/>
        </w:rPr>
        <w:t>。</w:t>
      </w:r>
    </w:p>
    <w:bookmarkEnd w:id="65"/>
    <w:bookmarkEnd w:id="66"/>
    <w:bookmarkEnd w:id="67"/>
    <w:bookmarkEnd w:id="68"/>
    <w:bookmarkEnd w:id="69"/>
    <w:bookmarkEnd w:id="70"/>
    <w:bookmarkEnd w:id="71"/>
    <w:bookmarkEnd w:id="72"/>
    <w:bookmarkEnd w:id="73"/>
    <w:bookmarkEnd w:id="74"/>
    <w:p w14:paraId="195AD41F">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bCs w:val="0"/>
          <w:color w:val="auto"/>
          <w:sz w:val="28"/>
          <w:szCs w:val="28"/>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开标时间及地点</w:t>
      </w:r>
    </w:p>
    <w:p w14:paraId="474EC4CC">
      <w:pPr>
        <w:pStyle w:val="14"/>
        <w:rPr>
          <w:rFonts w:hint="eastAsia" w:ascii="宋体" w:hAnsi="宋体" w:eastAsia="宋体" w:cs="宋体"/>
          <w:iCs/>
          <w:sz w:val="28"/>
          <w:szCs w:val="28"/>
          <w:highlight w:val="none"/>
        </w:rPr>
      </w:pPr>
      <w:r>
        <w:rPr>
          <w:rFonts w:hint="eastAsia" w:ascii="宋体" w:hAnsi="宋体" w:eastAsia="宋体" w:cs="宋体"/>
          <w:iCs/>
          <w:sz w:val="28"/>
          <w:szCs w:val="28"/>
          <w:highlight w:val="none"/>
        </w:rPr>
        <w:t>开标时间：2026年</w:t>
      </w:r>
      <w:r>
        <w:rPr>
          <w:rFonts w:hint="eastAsia" w:ascii="宋体" w:hAnsi="宋体" w:eastAsia="宋体" w:cs="宋体"/>
          <w:iCs/>
          <w:sz w:val="28"/>
          <w:szCs w:val="28"/>
          <w:highlight w:val="none"/>
          <w:lang w:val="en-US" w:eastAsia="zh-CN"/>
        </w:rPr>
        <w:t>8</w:t>
      </w:r>
      <w:r>
        <w:rPr>
          <w:rFonts w:hint="eastAsia" w:ascii="宋体" w:hAnsi="宋体" w:eastAsia="宋体" w:cs="宋体"/>
          <w:iCs/>
          <w:sz w:val="28"/>
          <w:szCs w:val="28"/>
          <w:highlight w:val="none"/>
        </w:rPr>
        <w:t>月</w:t>
      </w:r>
      <w:r>
        <w:rPr>
          <w:rFonts w:hint="eastAsia" w:ascii="宋体" w:hAnsi="宋体" w:eastAsia="宋体" w:cs="宋体"/>
          <w:iCs/>
          <w:sz w:val="28"/>
          <w:szCs w:val="28"/>
          <w:highlight w:val="none"/>
          <w:lang w:val="en-US" w:eastAsia="zh-CN"/>
        </w:rPr>
        <w:t>1</w:t>
      </w:r>
      <w:r>
        <w:rPr>
          <w:rFonts w:hint="eastAsia" w:ascii="宋体" w:eastAsia="宋体" w:cs="宋体"/>
          <w:iCs/>
          <w:sz w:val="28"/>
          <w:szCs w:val="28"/>
          <w:highlight w:val="none"/>
          <w:lang w:val="en-US" w:eastAsia="zh-CN"/>
        </w:rPr>
        <w:t>7</w:t>
      </w:r>
      <w:r>
        <w:rPr>
          <w:rFonts w:hint="eastAsia" w:ascii="宋体" w:hAnsi="宋体" w:eastAsia="宋体" w:cs="宋体"/>
          <w:iCs/>
          <w:sz w:val="28"/>
          <w:szCs w:val="28"/>
          <w:highlight w:val="none"/>
        </w:rPr>
        <w:t>日</w:t>
      </w:r>
      <w:r>
        <w:rPr>
          <w:rFonts w:hint="eastAsia" w:ascii="宋体" w:eastAsia="宋体" w:cs="宋体"/>
          <w:iCs/>
          <w:sz w:val="28"/>
          <w:szCs w:val="28"/>
          <w:highlight w:val="none"/>
          <w:lang w:val="en-US" w:eastAsia="zh-CN"/>
        </w:rPr>
        <w:t>9</w:t>
      </w:r>
      <w:r>
        <w:rPr>
          <w:rFonts w:hint="eastAsia" w:ascii="宋体" w:hAnsi="宋体" w:eastAsia="宋体" w:cs="宋体"/>
          <w:iCs/>
          <w:sz w:val="28"/>
          <w:szCs w:val="28"/>
          <w:highlight w:val="none"/>
        </w:rPr>
        <w:t>时</w:t>
      </w:r>
      <w:r>
        <w:rPr>
          <w:rFonts w:hint="eastAsia" w:ascii="宋体" w:eastAsia="宋体" w:cs="宋体"/>
          <w:iCs/>
          <w:sz w:val="28"/>
          <w:szCs w:val="28"/>
          <w:highlight w:val="none"/>
          <w:lang w:val="en-US" w:eastAsia="zh-CN"/>
        </w:rPr>
        <w:t>3</w:t>
      </w:r>
      <w:r>
        <w:rPr>
          <w:rFonts w:hint="eastAsia" w:ascii="宋体" w:hAnsi="宋体" w:eastAsia="宋体" w:cs="宋体"/>
          <w:iCs/>
          <w:sz w:val="28"/>
          <w:szCs w:val="28"/>
          <w:highlight w:val="none"/>
        </w:rPr>
        <w:t>0分（北京时间）</w:t>
      </w:r>
    </w:p>
    <w:p w14:paraId="41D63FD3">
      <w:pPr>
        <w:pStyle w:val="14"/>
        <w:rPr>
          <w:rFonts w:hint="eastAsia" w:ascii="宋体" w:hAnsi="宋体" w:eastAsia="宋体" w:cs="宋体"/>
          <w:iCs/>
          <w:sz w:val="28"/>
          <w:szCs w:val="28"/>
          <w:highlight w:val="none"/>
        </w:rPr>
      </w:pPr>
      <w:r>
        <w:rPr>
          <w:rFonts w:hint="eastAsia" w:ascii="宋体" w:hAnsi="宋体" w:eastAsia="宋体" w:cs="宋体"/>
          <w:iCs/>
          <w:sz w:val="28"/>
          <w:szCs w:val="28"/>
          <w:highlight w:val="none"/>
        </w:rPr>
        <w:t>开标地点：“盛唐集团招标采购交易平台”开标大厅。</w:t>
      </w:r>
    </w:p>
    <w:p w14:paraId="6B718B1D">
      <w:pPr>
        <w:widowControl w:val="0"/>
        <w:numPr>
          <w:ilvl w:val="0"/>
          <w:numId w:val="0"/>
        </w:numPr>
        <w:ind w:firstLine="560" w:firstLineChars="200"/>
        <w:jc w:val="both"/>
        <w:rPr>
          <w:rFonts w:hint="eastAsia"/>
          <w:highlight w:val="none"/>
          <w:lang w:val="en-US" w:eastAsia="zh-CN"/>
        </w:rPr>
      </w:pPr>
      <w:r>
        <w:rPr>
          <w:rFonts w:hint="eastAsia" w:ascii="宋体" w:hAnsi="宋体" w:eastAsia="宋体" w:cs="宋体"/>
          <w:iCs/>
          <w:sz w:val="28"/>
          <w:szCs w:val="28"/>
          <w:highlight w:val="none"/>
        </w:rPr>
        <w:t>解密方式：“盛唐集团招标采购交易平台”（网址：</w:t>
      </w:r>
      <w:r>
        <w:rPr>
          <w:rFonts w:hint="eastAsia" w:ascii="宋体" w:hAnsi="宋体" w:eastAsia="宋体" w:cs="宋体"/>
          <w:iCs/>
          <w:sz w:val="28"/>
          <w:szCs w:val="28"/>
          <w:highlight w:val="none"/>
        </w:rPr>
        <w:fldChar w:fldCharType="begin"/>
      </w:r>
      <w:r>
        <w:rPr>
          <w:rFonts w:hint="eastAsia" w:ascii="宋体" w:hAnsi="宋体" w:eastAsia="宋体" w:cs="宋体"/>
          <w:iCs/>
          <w:sz w:val="28"/>
          <w:szCs w:val="28"/>
          <w:highlight w:val="none"/>
        </w:rPr>
        <w:instrText xml:space="preserve"> HYPERLINK "http://stjt.ybbid.com" </w:instrText>
      </w:r>
      <w:r>
        <w:rPr>
          <w:rFonts w:hint="eastAsia" w:ascii="宋体" w:hAnsi="宋体" w:eastAsia="宋体" w:cs="宋体"/>
          <w:iCs/>
          <w:sz w:val="28"/>
          <w:szCs w:val="28"/>
          <w:highlight w:val="none"/>
        </w:rPr>
        <w:fldChar w:fldCharType="separate"/>
      </w:r>
      <w:r>
        <w:rPr>
          <w:rFonts w:hint="eastAsia" w:ascii="宋体" w:hAnsi="宋体" w:eastAsia="宋体" w:cs="宋体"/>
          <w:iCs/>
          <w:sz w:val="28"/>
          <w:szCs w:val="28"/>
          <w:highlight w:val="none"/>
        </w:rPr>
        <w:t>http://stjt.ybbid.com</w:t>
      </w:r>
      <w:r>
        <w:rPr>
          <w:rFonts w:hint="eastAsia" w:ascii="宋体" w:hAnsi="宋体" w:eastAsia="宋体" w:cs="宋体"/>
          <w:iCs/>
          <w:sz w:val="28"/>
          <w:szCs w:val="28"/>
          <w:highlight w:val="none"/>
        </w:rPr>
        <w:fldChar w:fldCharType="end"/>
      </w:r>
      <w:r>
        <w:rPr>
          <w:rFonts w:hint="eastAsia" w:ascii="宋体" w:hAnsi="宋体" w:eastAsia="宋体" w:cs="宋体"/>
          <w:iCs/>
          <w:sz w:val="28"/>
          <w:szCs w:val="28"/>
          <w:highlight w:val="none"/>
        </w:rPr>
        <w:t>），本项目采用“全流程电子化招标”，</w:t>
      </w:r>
      <w:r>
        <w:rPr>
          <w:rFonts w:hint="eastAsia" w:ascii="宋体" w:hAnsi="宋体" w:eastAsia="宋体" w:cs="宋体"/>
          <w:iCs/>
          <w:sz w:val="28"/>
          <w:szCs w:val="28"/>
          <w:highlight w:val="none"/>
          <w:lang w:val="en-US" w:eastAsia="zh-CN"/>
        </w:rPr>
        <w:t>投标人可自愿到现场参加开标会，</w:t>
      </w:r>
      <w:r>
        <w:rPr>
          <w:rFonts w:hint="eastAsia" w:ascii="宋体" w:hAnsi="宋体" w:eastAsia="宋体" w:cs="宋体"/>
          <w:b/>
          <w:bCs/>
          <w:iCs/>
          <w:sz w:val="28"/>
          <w:szCs w:val="28"/>
          <w:highlight w:val="none"/>
          <w:lang w:val="en-US" w:eastAsia="zh-CN"/>
        </w:rPr>
        <w:t>若到现场，邀请法定代表人（携带法定代表人身份证明及本人身份证）或委托代理人（携带授权委托书及本人身份证）</w:t>
      </w:r>
      <w:r>
        <w:rPr>
          <w:rFonts w:hint="eastAsia" w:ascii="宋体" w:hAnsi="宋体" w:eastAsia="宋体" w:cs="宋体"/>
          <w:b/>
          <w:bCs/>
          <w:iCs/>
          <w:sz w:val="28"/>
          <w:szCs w:val="28"/>
          <w:highlight w:val="none"/>
        </w:rPr>
        <w:t>到</w:t>
      </w:r>
      <w:r>
        <w:rPr>
          <w:rFonts w:hint="eastAsia" w:ascii="宋体" w:hAnsi="宋体" w:eastAsia="宋体" w:cs="宋体"/>
          <w:b/>
          <w:bCs/>
          <w:iCs/>
          <w:sz w:val="28"/>
          <w:szCs w:val="28"/>
          <w:highlight w:val="none"/>
          <w:lang w:val="en-US" w:eastAsia="zh-CN"/>
        </w:rPr>
        <w:t>开标</w:t>
      </w:r>
      <w:r>
        <w:rPr>
          <w:rFonts w:hint="eastAsia" w:ascii="宋体" w:hAnsi="宋体" w:eastAsia="宋体" w:cs="宋体"/>
          <w:b/>
          <w:bCs/>
          <w:iCs/>
          <w:sz w:val="28"/>
          <w:szCs w:val="28"/>
          <w:highlight w:val="none"/>
        </w:rPr>
        <w:t>现场。</w:t>
      </w:r>
      <w:r>
        <w:rPr>
          <w:rFonts w:hint="eastAsia" w:ascii="宋体" w:hAnsi="宋体" w:eastAsia="宋体" w:cs="宋体"/>
          <w:iCs/>
          <w:sz w:val="28"/>
          <w:szCs w:val="28"/>
          <w:highlight w:val="none"/>
        </w:rPr>
        <w:t>投标人应在截止时间后30分钟内解密投标文件。</w:t>
      </w:r>
    </w:p>
    <w:p w14:paraId="7E7C04C7">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highlight w:val="none"/>
          <w:lang w:val="en-US" w:eastAsia="zh-CN"/>
        </w:rPr>
      </w:pPr>
      <w:r>
        <w:rPr>
          <w:rFonts w:hint="eastAsia" w:asciiTheme="minorEastAsia" w:hAnsiTheme="minorEastAsia" w:eastAsiaTheme="minorEastAsia" w:cstheme="minorEastAsia"/>
          <w:b w:val="0"/>
          <w:bCs w:val="0"/>
          <w:color w:val="auto"/>
          <w:sz w:val="28"/>
          <w:szCs w:val="28"/>
          <w:highlight w:val="none"/>
          <w:lang w:val="en-US" w:eastAsia="zh-CN"/>
        </w:rPr>
        <w:t>六、公告期限</w:t>
      </w:r>
    </w:p>
    <w:p w14:paraId="03EC085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自本公告发布之日起5个工作日。</w:t>
      </w:r>
    </w:p>
    <w:p w14:paraId="59458ED5">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bCs w:val="0"/>
          <w:color w:val="auto"/>
          <w:sz w:val="28"/>
          <w:szCs w:val="28"/>
          <w:highlight w:val="none"/>
          <w:lang w:val="en-US" w:eastAsia="zh-CN"/>
        </w:rPr>
      </w:pPr>
      <w:bookmarkStart w:id="75" w:name="_Toc6265"/>
      <w:bookmarkStart w:id="76" w:name="_Toc26928"/>
      <w:bookmarkStart w:id="77" w:name="_Toc4868"/>
      <w:bookmarkStart w:id="78" w:name="_Toc24953"/>
      <w:bookmarkStart w:id="79" w:name="_Toc32072"/>
      <w:bookmarkStart w:id="80" w:name="_Toc25707"/>
      <w:r>
        <w:rPr>
          <w:rFonts w:hint="eastAsia" w:asciiTheme="minorEastAsia" w:hAnsiTheme="minorEastAsia" w:eastAsiaTheme="minorEastAsia" w:cstheme="minorEastAsia"/>
          <w:b w:val="0"/>
          <w:bCs w:val="0"/>
          <w:color w:val="auto"/>
          <w:sz w:val="28"/>
          <w:szCs w:val="28"/>
          <w:highlight w:val="none"/>
          <w:lang w:val="en-US" w:eastAsia="zh-CN"/>
        </w:rPr>
        <w:t>七、其他补充事宜</w:t>
      </w:r>
      <w:bookmarkEnd w:id="75"/>
      <w:bookmarkEnd w:id="76"/>
      <w:bookmarkEnd w:id="77"/>
      <w:bookmarkEnd w:id="78"/>
      <w:bookmarkEnd w:id="79"/>
      <w:bookmarkEnd w:id="80"/>
    </w:p>
    <w:p w14:paraId="3CFEE786">
      <w:pPr>
        <w:autoSpaceDE w:val="0"/>
        <w:autoSpaceDN w:val="0"/>
        <w:spacing w:line="360" w:lineRule="auto"/>
        <w:ind w:firstLine="560" w:firstLineChars="200"/>
        <w:rPr>
          <w:rFonts w:ascii="宋体" w:hAnsi="宋体" w:eastAsia="宋体" w:cs="宋体"/>
          <w:sz w:val="28"/>
          <w:szCs w:val="28"/>
          <w:highlight w:val="none"/>
        </w:rPr>
      </w:pPr>
      <w:r>
        <w:rPr>
          <w:rFonts w:hint="eastAsia" w:ascii="宋体" w:hAnsi="宋体" w:eastAsia="宋体" w:cs="宋体"/>
          <w:sz w:val="28"/>
          <w:szCs w:val="28"/>
          <w:highlight w:val="none"/>
        </w:rPr>
        <w:t>1.本项目</w:t>
      </w:r>
      <w:r>
        <w:rPr>
          <w:rFonts w:hint="eastAsia" w:ascii="宋体" w:hAnsi="宋体" w:eastAsia="宋体" w:cs="宋体"/>
          <w:sz w:val="28"/>
          <w:szCs w:val="28"/>
          <w:highlight w:val="none"/>
          <w:lang w:val="en-US" w:eastAsia="zh-CN"/>
        </w:rPr>
        <w:t>不</w:t>
      </w:r>
      <w:r>
        <w:rPr>
          <w:rFonts w:hint="eastAsia" w:ascii="宋体" w:hAnsi="宋体" w:eastAsia="宋体" w:cs="宋体"/>
          <w:sz w:val="28"/>
          <w:szCs w:val="28"/>
          <w:highlight w:val="none"/>
        </w:rPr>
        <w:t>需</w:t>
      </w:r>
      <w:r>
        <w:rPr>
          <w:rFonts w:hint="eastAsia" w:ascii="宋体" w:hAnsi="宋体" w:eastAsia="宋体" w:cs="宋体"/>
          <w:sz w:val="28"/>
          <w:szCs w:val="28"/>
          <w:highlight w:val="none"/>
          <w:lang w:val="en-US" w:eastAsia="zh-CN"/>
        </w:rPr>
        <w:t>要落实</w:t>
      </w:r>
      <w:r>
        <w:rPr>
          <w:rFonts w:hint="eastAsia" w:ascii="宋体" w:hAnsi="宋体" w:eastAsia="宋体" w:cs="宋体"/>
          <w:sz w:val="28"/>
          <w:szCs w:val="28"/>
          <w:highlight w:val="none"/>
        </w:rPr>
        <w:t>节能环保、中小微型企业扶持等相关政府采购政策。</w:t>
      </w:r>
    </w:p>
    <w:p w14:paraId="320A043B">
      <w:pPr>
        <w:keepNext w:val="0"/>
        <w:keepLines w:val="0"/>
        <w:pageBreakBefore w:val="0"/>
        <w:widowControl w:val="0"/>
        <w:numPr>
          <w:ilvl w:val="0"/>
          <w:numId w:val="0"/>
        </w:numPr>
        <w:shd w:val="clear"/>
        <w:kinsoku/>
        <w:wordWrap/>
        <w:overflowPunct/>
        <w:topLinePunct w:val="0"/>
        <w:autoSpaceDE w:val="0"/>
        <w:autoSpaceDN w:val="0"/>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2.本次公告在安徽省招标投标信息网（https://www.ahtba.org.cn）上发布。</w:t>
      </w:r>
    </w:p>
    <w:p w14:paraId="5A1D3556">
      <w:pPr>
        <w:keepNext w:val="0"/>
        <w:keepLines w:val="0"/>
        <w:pageBreakBefore w:val="0"/>
        <w:widowControl w:val="0"/>
        <w:numPr>
          <w:ilvl w:val="0"/>
          <w:numId w:val="0"/>
        </w:numPr>
        <w:shd w:val="clear"/>
        <w:kinsoku/>
        <w:wordWrap/>
        <w:overflowPunct/>
        <w:topLinePunct w:val="0"/>
        <w:autoSpaceDE w:val="0"/>
        <w:autoSpaceDN w:val="0"/>
        <w:bidi w:val="0"/>
        <w:adjustRightInd/>
        <w:snapToGrid/>
        <w:spacing w:line="360" w:lineRule="auto"/>
        <w:ind w:firstLine="560" w:firstLineChars="200"/>
        <w:textAlignment w:val="auto"/>
        <w:rPr>
          <w:rFonts w:hint="eastAsia" w:asciiTheme="minorEastAsia" w:hAnsiTheme="minorEastAsia" w:eastAsiaTheme="minorEastAsia" w:cstheme="minorEastAsia"/>
          <w:color w:val="auto"/>
          <w:kern w:val="0"/>
          <w:sz w:val="28"/>
          <w:szCs w:val="28"/>
          <w:highlight w:val="none"/>
        </w:rPr>
      </w:pPr>
      <w:r>
        <w:rPr>
          <w:rFonts w:hint="eastAsia" w:ascii="宋体" w:hAnsi="宋体" w:eastAsia="宋体" w:cs="宋体"/>
          <w:color w:val="auto"/>
          <w:sz w:val="28"/>
          <w:szCs w:val="28"/>
          <w:highlight w:val="none"/>
          <w:lang w:val="en-US" w:eastAsia="zh-CN"/>
        </w:rPr>
        <w:t>3.本项目所属行业为</w:t>
      </w:r>
      <w:r>
        <w:rPr>
          <w:rFonts w:hint="eastAsia" w:ascii="宋体" w:hAnsi="宋体" w:eastAsia="宋体" w:cs="宋体"/>
          <w:color w:val="auto"/>
          <w:sz w:val="28"/>
          <w:szCs w:val="28"/>
          <w:highlight w:val="none"/>
          <w:u w:val="single"/>
          <w:lang w:val="en-US" w:eastAsia="zh-CN"/>
        </w:rPr>
        <w:t>物业管理</w:t>
      </w:r>
      <w:r>
        <w:rPr>
          <w:rFonts w:hint="eastAsia" w:ascii="宋体" w:hAnsi="宋体" w:eastAsia="宋体" w:cs="宋体"/>
          <w:color w:val="auto"/>
          <w:sz w:val="28"/>
          <w:szCs w:val="28"/>
          <w:highlight w:val="none"/>
          <w:u w:val="none"/>
          <w:lang w:val="en-US" w:eastAsia="zh-CN"/>
        </w:rPr>
        <w:t>行业</w:t>
      </w:r>
      <w:r>
        <w:rPr>
          <w:rFonts w:hint="eastAsia" w:ascii="宋体" w:hAnsi="宋体" w:eastAsia="宋体" w:cs="宋体"/>
          <w:color w:val="auto"/>
          <w:sz w:val="28"/>
          <w:szCs w:val="28"/>
          <w:highlight w:val="none"/>
          <w:lang w:val="en-US" w:eastAsia="zh-CN"/>
        </w:rPr>
        <w:t>。</w:t>
      </w:r>
    </w:p>
    <w:p w14:paraId="0F3DE142">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val="0"/>
          <w:bCs w:val="0"/>
          <w:color w:val="auto"/>
          <w:sz w:val="28"/>
          <w:szCs w:val="28"/>
          <w:highlight w:val="none"/>
          <w:lang w:val="en-US" w:eastAsia="zh-CN"/>
        </w:rPr>
      </w:pPr>
      <w:bookmarkStart w:id="81" w:name="_Toc17740"/>
      <w:bookmarkStart w:id="82" w:name="_Toc5218"/>
      <w:bookmarkStart w:id="83" w:name="_Toc28359085"/>
      <w:bookmarkStart w:id="84" w:name="_Toc23626"/>
      <w:bookmarkStart w:id="85" w:name="_Toc35393627"/>
      <w:bookmarkStart w:id="86" w:name="_Toc28359008"/>
      <w:bookmarkStart w:id="87" w:name="_Toc17612"/>
      <w:bookmarkStart w:id="88" w:name="_Toc35393796"/>
      <w:bookmarkStart w:id="89" w:name="_Toc8"/>
      <w:bookmarkStart w:id="90" w:name="_Toc3616"/>
      <w:r>
        <w:rPr>
          <w:rFonts w:hint="eastAsia" w:asciiTheme="minorEastAsia" w:hAnsiTheme="minorEastAsia" w:eastAsiaTheme="minorEastAsia" w:cstheme="minorEastAsia"/>
          <w:b w:val="0"/>
          <w:bCs w:val="0"/>
          <w:color w:val="auto"/>
          <w:sz w:val="28"/>
          <w:szCs w:val="28"/>
          <w:highlight w:val="none"/>
          <w:lang w:val="en-US" w:eastAsia="zh-CN"/>
        </w:rPr>
        <w:t>八、对本次招标提出询问，请按以下方式联系</w:t>
      </w:r>
      <w:bookmarkEnd w:id="81"/>
      <w:bookmarkEnd w:id="82"/>
      <w:bookmarkEnd w:id="83"/>
      <w:bookmarkEnd w:id="84"/>
      <w:bookmarkEnd w:id="85"/>
      <w:bookmarkEnd w:id="86"/>
      <w:bookmarkEnd w:id="87"/>
      <w:bookmarkEnd w:id="88"/>
      <w:bookmarkEnd w:id="89"/>
      <w:bookmarkEnd w:id="90"/>
    </w:p>
    <w:p w14:paraId="1A71D6A2">
      <w:pPr>
        <w:spacing w:line="360" w:lineRule="auto"/>
        <w:ind w:firstLine="562" w:firstLineChars="200"/>
        <w:rPr>
          <w:rFonts w:ascii="宋体" w:hAnsi="宋体" w:eastAsia="宋体" w:cs="宋体"/>
          <w:b/>
          <w:bCs/>
          <w:sz w:val="28"/>
          <w:szCs w:val="28"/>
        </w:rPr>
      </w:pPr>
      <w:bookmarkStart w:id="91" w:name="_Toc20282"/>
      <w:r>
        <w:rPr>
          <w:rFonts w:hint="eastAsia" w:ascii="宋体" w:hAnsi="宋体" w:eastAsia="宋体" w:cs="宋体"/>
          <w:b/>
          <w:bCs/>
          <w:sz w:val="28"/>
          <w:szCs w:val="28"/>
        </w:rPr>
        <w:t>1.采购人信息</w:t>
      </w:r>
      <w:bookmarkEnd w:id="91"/>
    </w:p>
    <w:p w14:paraId="540AE44E">
      <w:pPr>
        <w:spacing w:line="360" w:lineRule="auto"/>
        <w:ind w:firstLine="560" w:firstLineChars="200"/>
        <w:jc w:val="left"/>
        <w:rPr>
          <w:rFonts w:hint="eastAsia" w:ascii="宋体" w:hAnsi="宋体" w:eastAsia="宋体" w:cs="宋体"/>
          <w:i w:val="0"/>
          <w:iCs w:val="0"/>
          <w:sz w:val="28"/>
          <w:szCs w:val="28"/>
          <w:u w:val="single"/>
          <w:lang w:eastAsia="zh-CN"/>
        </w:rPr>
      </w:pPr>
      <w:r>
        <w:rPr>
          <w:rFonts w:hint="eastAsia" w:ascii="宋体" w:hAnsi="宋体" w:eastAsia="宋体" w:cs="宋体"/>
          <w:sz w:val="28"/>
          <w:szCs w:val="28"/>
        </w:rPr>
        <w:t>名    称：</w:t>
      </w:r>
      <w:r>
        <w:rPr>
          <w:rFonts w:hint="eastAsia" w:ascii="宋体" w:hAnsi="宋体" w:eastAsia="宋体" w:cs="宋体"/>
          <w:i w:val="0"/>
          <w:iCs w:val="0"/>
          <w:sz w:val="28"/>
          <w:szCs w:val="28"/>
          <w:u w:val="single"/>
          <w:lang w:eastAsia="zh-CN"/>
        </w:rPr>
        <w:t>港利上城国际小区第二届业主委员会</w:t>
      </w:r>
    </w:p>
    <w:p w14:paraId="40C38A9E">
      <w:pPr>
        <w:spacing w:line="360" w:lineRule="auto"/>
        <w:ind w:firstLine="560" w:firstLineChars="200"/>
        <w:jc w:val="left"/>
        <w:rPr>
          <w:rFonts w:ascii="宋体" w:hAnsi="宋体" w:eastAsia="宋体" w:cs="宋体"/>
          <w:i w:val="0"/>
          <w:iCs w:val="0"/>
          <w:sz w:val="28"/>
          <w:szCs w:val="28"/>
        </w:rPr>
      </w:pPr>
      <w:r>
        <w:rPr>
          <w:rFonts w:hint="eastAsia" w:ascii="宋体" w:hAnsi="宋体" w:eastAsia="宋体" w:cs="宋体"/>
          <w:i w:val="0"/>
          <w:iCs w:val="0"/>
          <w:sz w:val="28"/>
          <w:szCs w:val="28"/>
        </w:rPr>
        <w:t>地    址：</w:t>
      </w:r>
      <w:r>
        <w:rPr>
          <w:rFonts w:hint="eastAsia" w:ascii="宋体" w:hAnsi="宋体" w:eastAsia="宋体" w:cs="宋体"/>
          <w:i w:val="0"/>
          <w:iCs w:val="0"/>
          <w:sz w:val="28"/>
          <w:szCs w:val="28"/>
          <w:u w:val="single"/>
        </w:rPr>
        <w:t>阜阳市颍州区</w:t>
      </w:r>
      <w:r>
        <w:rPr>
          <w:rFonts w:hint="eastAsia" w:ascii="宋体" w:hAnsi="宋体" w:eastAsia="宋体" w:cs="宋体"/>
          <w:i w:val="0"/>
          <w:iCs w:val="0"/>
          <w:sz w:val="28"/>
          <w:szCs w:val="28"/>
          <w:u w:val="single"/>
          <w:lang w:eastAsia="zh-CN"/>
        </w:rPr>
        <w:t>颍</w:t>
      </w:r>
      <w:r>
        <w:rPr>
          <w:rFonts w:hint="eastAsia" w:ascii="宋体" w:hAnsi="宋体" w:eastAsia="宋体" w:cs="宋体"/>
          <w:i w:val="0"/>
          <w:iCs w:val="0"/>
          <w:sz w:val="28"/>
          <w:szCs w:val="28"/>
          <w:u w:val="single"/>
        </w:rPr>
        <w:t>西街道清河西路51号</w:t>
      </w:r>
    </w:p>
    <w:p w14:paraId="1071D544">
      <w:pPr>
        <w:spacing w:line="360" w:lineRule="auto"/>
        <w:ind w:firstLine="560" w:firstLineChars="200"/>
        <w:jc w:val="left"/>
        <w:rPr>
          <w:rFonts w:ascii="宋体" w:hAnsi="宋体" w:eastAsia="宋体" w:cs="宋体"/>
          <w:i w:val="0"/>
          <w:iCs w:val="0"/>
          <w:sz w:val="28"/>
          <w:szCs w:val="28"/>
        </w:rPr>
      </w:pPr>
      <w:r>
        <w:rPr>
          <w:rFonts w:hint="eastAsia" w:ascii="宋体" w:hAnsi="宋体" w:eastAsia="宋体" w:cs="宋体"/>
          <w:i w:val="0"/>
          <w:iCs w:val="0"/>
          <w:sz w:val="28"/>
          <w:szCs w:val="28"/>
        </w:rPr>
        <w:t>联系方式：</w:t>
      </w:r>
      <w:r>
        <w:rPr>
          <w:rFonts w:hint="eastAsia" w:ascii="宋体" w:hAnsi="宋体" w:eastAsia="宋体" w:cs="宋体"/>
          <w:i w:val="0"/>
          <w:iCs w:val="0"/>
          <w:sz w:val="28"/>
          <w:szCs w:val="28"/>
          <w:u w:val="single"/>
        </w:rPr>
        <w:t>王倩15656991314</w:t>
      </w:r>
    </w:p>
    <w:p w14:paraId="2597D8DA">
      <w:pPr>
        <w:spacing w:line="360" w:lineRule="auto"/>
        <w:ind w:firstLine="562" w:firstLineChars="200"/>
        <w:rPr>
          <w:rFonts w:hint="eastAsia" w:ascii="宋体" w:hAnsi="宋体" w:eastAsia="宋体" w:cs="宋体"/>
          <w:b/>
          <w:bCs/>
          <w:i w:val="0"/>
          <w:iCs w:val="0"/>
          <w:sz w:val="28"/>
          <w:szCs w:val="28"/>
          <w:lang w:eastAsia="zh-CN"/>
        </w:rPr>
      </w:pPr>
      <w:bookmarkStart w:id="92" w:name="_Toc828"/>
      <w:r>
        <w:rPr>
          <w:rFonts w:hint="eastAsia" w:ascii="宋体" w:hAnsi="宋体" w:eastAsia="宋体" w:cs="宋体"/>
          <w:b/>
          <w:bCs/>
          <w:i w:val="0"/>
          <w:iCs w:val="0"/>
          <w:sz w:val="28"/>
          <w:szCs w:val="28"/>
        </w:rPr>
        <w:t>2.采购代理机构信息</w:t>
      </w:r>
      <w:bookmarkEnd w:id="92"/>
    </w:p>
    <w:p w14:paraId="754722FC">
      <w:pPr>
        <w:spacing w:line="360" w:lineRule="auto"/>
        <w:ind w:firstLine="560" w:firstLineChars="200"/>
        <w:rPr>
          <w:rFonts w:ascii="宋体" w:hAnsi="宋体" w:eastAsia="宋体" w:cs="宋体"/>
          <w:i w:val="0"/>
          <w:iCs w:val="0"/>
          <w:sz w:val="28"/>
          <w:szCs w:val="28"/>
        </w:rPr>
      </w:pPr>
      <w:r>
        <w:rPr>
          <w:rFonts w:hint="eastAsia" w:ascii="宋体" w:hAnsi="宋体" w:eastAsia="宋体" w:cs="宋体"/>
          <w:i w:val="0"/>
          <w:iCs w:val="0"/>
          <w:sz w:val="28"/>
          <w:szCs w:val="28"/>
        </w:rPr>
        <w:t>名    称：</w:t>
      </w:r>
      <w:r>
        <w:rPr>
          <w:rFonts w:hint="eastAsia" w:ascii="宋体" w:hAnsi="宋体" w:eastAsia="宋体" w:cs="宋体"/>
          <w:i w:val="0"/>
          <w:iCs w:val="0"/>
          <w:sz w:val="28"/>
          <w:szCs w:val="28"/>
          <w:u w:val="single"/>
        </w:rPr>
        <w:t>盛唐工程咨询集团有限公司</w:t>
      </w:r>
    </w:p>
    <w:p w14:paraId="1CB4FD19">
      <w:pPr>
        <w:spacing w:line="360" w:lineRule="auto"/>
        <w:ind w:firstLine="560" w:firstLineChars="200"/>
        <w:rPr>
          <w:rFonts w:ascii="宋体" w:hAnsi="宋体" w:eastAsia="宋体" w:cs="宋体"/>
          <w:i w:val="0"/>
          <w:iCs w:val="0"/>
          <w:sz w:val="28"/>
          <w:szCs w:val="28"/>
        </w:rPr>
      </w:pPr>
      <w:r>
        <w:rPr>
          <w:rFonts w:hint="eastAsia" w:ascii="宋体" w:hAnsi="宋体" w:eastAsia="宋体" w:cs="宋体"/>
          <w:i w:val="0"/>
          <w:iCs w:val="0"/>
          <w:sz w:val="28"/>
          <w:szCs w:val="28"/>
        </w:rPr>
        <w:t>地</w:t>
      </w:r>
      <w:r>
        <w:rPr>
          <w:rFonts w:hint="eastAsia" w:ascii="宋体" w:hAnsi="宋体" w:eastAsia="宋体" w:cs="宋体"/>
          <w:i w:val="0"/>
          <w:iCs w:val="0"/>
          <w:sz w:val="28"/>
          <w:szCs w:val="28"/>
          <w:lang w:val="en-US" w:eastAsia="zh-CN"/>
        </w:rPr>
        <w:t xml:space="preserve">    </w:t>
      </w:r>
      <w:r>
        <w:rPr>
          <w:rFonts w:hint="eastAsia" w:ascii="宋体" w:hAnsi="宋体" w:eastAsia="宋体" w:cs="宋体"/>
          <w:i w:val="0"/>
          <w:iCs w:val="0"/>
          <w:sz w:val="28"/>
          <w:szCs w:val="28"/>
        </w:rPr>
        <w:t>址：</w:t>
      </w:r>
      <w:r>
        <w:rPr>
          <w:rFonts w:hint="eastAsia" w:ascii="宋体" w:hAnsi="宋体" w:eastAsia="宋体" w:cs="宋体"/>
          <w:i w:val="0"/>
          <w:iCs w:val="0"/>
          <w:sz w:val="28"/>
          <w:szCs w:val="28"/>
          <w:u w:val="single"/>
        </w:rPr>
        <w:t>安徽省合肥市包河区福州路3436号千城大厦七楼</w:t>
      </w:r>
    </w:p>
    <w:p w14:paraId="2A3E6D71">
      <w:pPr>
        <w:spacing w:line="360" w:lineRule="auto"/>
        <w:ind w:firstLine="560" w:firstLineChars="200"/>
        <w:rPr>
          <w:rFonts w:hint="default" w:ascii="宋体" w:hAnsi="宋体" w:eastAsia="宋体" w:cs="宋体"/>
          <w:i w:val="0"/>
          <w:iCs w:val="0"/>
          <w:sz w:val="28"/>
          <w:szCs w:val="28"/>
          <w:u w:val="single"/>
          <w:lang w:val="en-US" w:eastAsia="zh-CN"/>
        </w:rPr>
      </w:pPr>
      <w:r>
        <w:rPr>
          <w:rFonts w:hint="eastAsia" w:ascii="宋体" w:hAnsi="宋体" w:eastAsia="宋体" w:cs="宋体"/>
          <w:i w:val="0"/>
          <w:iCs w:val="0"/>
          <w:sz w:val="28"/>
          <w:szCs w:val="28"/>
        </w:rPr>
        <w:t>联系方式：</w:t>
      </w:r>
      <w:r>
        <w:rPr>
          <w:rFonts w:hint="eastAsia" w:ascii="宋体" w:hAnsi="宋体" w:eastAsia="宋体" w:cs="宋体"/>
          <w:i w:val="0"/>
          <w:iCs w:val="0"/>
          <w:sz w:val="28"/>
          <w:szCs w:val="28"/>
          <w:u w:val="single"/>
          <w:lang w:val="en-US" w:eastAsia="zh-CN"/>
        </w:rPr>
        <w:t>王工</w:t>
      </w:r>
      <w:r>
        <w:rPr>
          <w:rFonts w:hint="eastAsia" w:ascii="宋体" w:hAnsi="宋体" w:eastAsia="宋体" w:cs="宋体"/>
          <w:i w:val="0"/>
          <w:iCs w:val="0"/>
          <w:sz w:val="28"/>
          <w:szCs w:val="28"/>
          <w:u w:val="single"/>
        </w:rPr>
        <w:t>15240081560</w:t>
      </w:r>
      <w:r>
        <w:rPr>
          <w:rFonts w:hint="eastAsia" w:ascii="宋体" w:hAnsi="宋体" w:eastAsia="宋体" w:cs="宋体"/>
          <w:i w:val="0"/>
          <w:iCs w:val="0"/>
          <w:sz w:val="28"/>
          <w:szCs w:val="28"/>
          <w:u w:val="single"/>
          <w:lang w:eastAsia="zh-CN"/>
        </w:rPr>
        <w:t>、</w:t>
      </w:r>
      <w:r>
        <w:rPr>
          <w:rFonts w:hint="eastAsia" w:ascii="宋体" w:hAnsi="宋体" w:eastAsia="宋体" w:cs="宋体"/>
          <w:i w:val="0"/>
          <w:iCs w:val="0"/>
          <w:sz w:val="28"/>
          <w:szCs w:val="28"/>
          <w:u w:val="single"/>
          <w:lang w:val="en-US" w:eastAsia="zh-CN"/>
        </w:rPr>
        <w:t>张工18656881166</w:t>
      </w:r>
    </w:p>
    <w:p w14:paraId="58C36264">
      <w:pPr>
        <w:spacing w:line="360" w:lineRule="auto"/>
        <w:ind w:firstLine="562" w:firstLineChars="200"/>
        <w:rPr>
          <w:rFonts w:ascii="宋体" w:hAnsi="宋体" w:eastAsia="宋体" w:cs="宋体"/>
          <w:b/>
          <w:bCs/>
          <w:i w:val="0"/>
          <w:iCs w:val="0"/>
          <w:sz w:val="28"/>
          <w:szCs w:val="28"/>
        </w:rPr>
      </w:pPr>
      <w:bookmarkStart w:id="93" w:name="_Toc15170"/>
      <w:r>
        <w:rPr>
          <w:rFonts w:hint="eastAsia" w:ascii="宋体" w:hAnsi="宋体" w:eastAsia="宋体" w:cs="宋体"/>
          <w:b/>
          <w:bCs/>
          <w:i w:val="0"/>
          <w:iCs w:val="0"/>
          <w:sz w:val="28"/>
          <w:szCs w:val="28"/>
        </w:rPr>
        <w:t>3.项目联系方式</w:t>
      </w:r>
      <w:bookmarkEnd w:id="93"/>
    </w:p>
    <w:p w14:paraId="65593BF5">
      <w:pPr>
        <w:pStyle w:val="7"/>
        <w:spacing w:line="360" w:lineRule="auto"/>
        <w:ind w:firstLine="560" w:firstLineChars="200"/>
        <w:rPr>
          <w:rFonts w:hAnsi="宋体" w:eastAsia="宋体" w:cs="宋体"/>
          <w:i w:val="0"/>
          <w:iCs w:val="0"/>
          <w:sz w:val="28"/>
          <w:szCs w:val="28"/>
        </w:rPr>
      </w:pPr>
      <w:r>
        <w:rPr>
          <w:rFonts w:hint="eastAsia" w:hAnsi="宋体" w:eastAsia="宋体" w:cs="宋体"/>
          <w:i w:val="0"/>
          <w:iCs w:val="0"/>
          <w:sz w:val="28"/>
          <w:szCs w:val="28"/>
        </w:rPr>
        <w:t>项目联系人：</w:t>
      </w:r>
      <w:r>
        <w:rPr>
          <w:rFonts w:hint="eastAsia" w:hAnsi="宋体" w:eastAsia="宋体" w:cs="宋体"/>
          <w:i w:val="0"/>
          <w:iCs w:val="0"/>
          <w:sz w:val="28"/>
          <w:szCs w:val="28"/>
          <w:u w:val="single"/>
        </w:rPr>
        <w:t>王倩</w:t>
      </w:r>
    </w:p>
    <w:p w14:paraId="1D7BEAEB">
      <w:pPr>
        <w:pStyle w:val="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宋体" w:hAnsi="宋体" w:eastAsia="宋体" w:cs="宋体"/>
          <w:i w:val="0"/>
          <w:iCs w:val="0"/>
          <w:sz w:val="28"/>
          <w:szCs w:val="28"/>
        </w:rPr>
        <w:t>电</w:t>
      </w:r>
      <w:r>
        <w:rPr>
          <w:rFonts w:hint="eastAsia" w:ascii="宋体" w:hAnsi="宋体" w:eastAsia="宋体" w:cs="宋体"/>
          <w:i w:val="0"/>
          <w:iCs w:val="0"/>
          <w:sz w:val="28"/>
          <w:szCs w:val="28"/>
          <w:lang w:val="en-US" w:eastAsia="zh-CN"/>
        </w:rPr>
        <w:t xml:space="preserve">      </w:t>
      </w:r>
      <w:r>
        <w:rPr>
          <w:rFonts w:hint="eastAsia" w:ascii="宋体" w:hAnsi="宋体" w:eastAsia="宋体" w:cs="宋体"/>
          <w:i w:val="0"/>
          <w:iCs w:val="0"/>
          <w:sz w:val="28"/>
          <w:szCs w:val="28"/>
        </w:rPr>
        <w:t>话：</w:t>
      </w:r>
      <w:r>
        <w:rPr>
          <w:rFonts w:hint="eastAsia" w:ascii="宋体" w:hAnsi="宋体" w:eastAsia="宋体" w:cs="宋体"/>
          <w:i w:val="0"/>
          <w:iCs w:val="0"/>
          <w:sz w:val="28"/>
          <w:szCs w:val="28"/>
          <w:u w:val="single"/>
        </w:rPr>
        <w:t>15656991314</w:t>
      </w:r>
    </w:p>
    <w:p w14:paraId="4EAFF4B9">
      <w:pPr>
        <w:pageBreakBefore w:val="0"/>
        <w:kinsoku/>
        <w:overflowPunct/>
        <w:topLinePunct w:val="0"/>
        <w:bidi w:val="0"/>
        <w:spacing w:line="360" w:lineRule="auto"/>
        <w:ind w:left="0" w:leftChars="0" w:right="0" w:rightChars="0"/>
        <w:jc w:val="left"/>
        <w:textAlignment w:val="auto"/>
        <w:outlineLvl w:val="9"/>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b/>
          <w:color w:val="auto"/>
          <w:sz w:val="28"/>
          <w:highlight w:val="none"/>
        </w:rPr>
        <w:br w:type="page"/>
      </w:r>
    </w:p>
    <w:bookmarkEnd w:id="25"/>
    <w:p w14:paraId="57C75D3A">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0"/>
        <w:rPr>
          <w:rStyle w:val="19"/>
          <w:rFonts w:hint="eastAsia" w:asciiTheme="minorEastAsia" w:hAnsiTheme="minorEastAsia" w:eastAsiaTheme="minorEastAsia" w:cstheme="minorEastAsia"/>
          <w:color w:val="auto"/>
          <w:kern w:val="44"/>
          <w:sz w:val="44"/>
          <w:szCs w:val="44"/>
          <w:highlight w:val="none"/>
          <w:lang w:val="en-US" w:eastAsia="zh-CN" w:bidi="ar-SA"/>
        </w:rPr>
      </w:pPr>
      <w:bookmarkStart w:id="94" w:name="_Toc15527"/>
      <w:bookmarkStart w:id="95" w:name="_Toc8888"/>
      <w:bookmarkStart w:id="96" w:name="_Toc8552"/>
      <w:r>
        <w:rPr>
          <w:rStyle w:val="19"/>
          <w:rFonts w:hint="eastAsia" w:asciiTheme="minorEastAsia" w:hAnsiTheme="minorEastAsia" w:eastAsiaTheme="minorEastAsia" w:cstheme="minorEastAsia"/>
          <w:color w:val="auto"/>
          <w:kern w:val="44"/>
          <w:sz w:val="44"/>
          <w:szCs w:val="44"/>
          <w:highlight w:val="none"/>
          <w:lang w:val="en-US" w:eastAsia="zh-CN" w:bidi="ar-SA"/>
        </w:rPr>
        <w:t>第二章  投标人须知</w:t>
      </w:r>
      <w:bookmarkEnd w:id="94"/>
      <w:bookmarkEnd w:id="95"/>
      <w:bookmarkEnd w:id="96"/>
    </w:p>
    <w:p w14:paraId="1B8E123F">
      <w:pPr>
        <w:pStyle w:val="3"/>
        <w:pageBreakBefore w:val="0"/>
        <w:kinsoku/>
        <w:overflowPunct/>
        <w:topLinePunct w:val="0"/>
        <w:bidi w:val="0"/>
        <w:spacing w:before="0" w:after="0"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bookmarkStart w:id="97" w:name="_Toc769"/>
      <w:bookmarkStart w:id="98" w:name="_Toc13589"/>
      <w:bookmarkStart w:id="99" w:name="_Toc7178"/>
      <w:r>
        <w:rPr>
          <w:rFonts w:hint="eastAsia" w:asciiTheme="minorEastAsia" w:hAnsiTheme="minorEastAsia" w:eastAsiaTheme="minorEastAsia" w:cstheme="minorEastAsia"/>
          <w:color w:val="auto"/>
          <w:highlight w:val="none"/>
        </w:rPr>
        <w:t>一、投标人须知前附表</w:t>
      </w:r>
      <w:bookmarkEnd w:id="97"/>
      <w:bookmarkEnd w:id="98"/>
      <w:bookmarkEnd w:id="99"/>
    </w:p>
    <w:p w14:paraId="5732A44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b/>
          <w:bCs/>
          <w:color w:val="auto"/>
          <w:sz w:val="24"/>
          <w:szCs w:val="18"/>
          <w:highlight w:val="none"/>
        </w:rPr>
        <w:t>注：</w:t>
      </w:r>
      <w:r>
        <w:rPr>
          <w:rFonts w:hint="eastAsia" w:asciiTheme="minorEastAsia" w:hAnsiTheme="minorEastAsia" w:eastAsiaTheme="minorEastAsia" w:cstheme="minorEastAsia"/>
          <w:color w:val="auto"/>
          <w:sz w:val="24"/>
          <w:szCs w:val="18"/>
          <w:highlight w:val="none"/>
        </w:rPr>
        <w:t>本表是本项目的具体要求，是对投标人须知的具体补充和修改，如有不一致，以本表为准。</w:t>
      </w:r>
    </w:p>
    <w:tbl>
      <w:tblPr>
        <w:tblStyle w:val="1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2178"/>
        <w:gridCol w:w="6039"/>
      </w:tblGrid>
      <w:tr w14:paraId="540C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06E499D3">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Cs w:val="0"/>
                <w:color w:val="auto"/>
                <w:kern w:val="2"/>
                <w:sz w:val="24"/>
                <w:szCs w:val="20"/>
                <w:highlight w:val="none"/>
              </w:rPr>
            </w:pPr>
            <w:r>
              <w:rPr>
                <w:rFonts w:hint="eastAsia" w:asciiTheme="minorEastAsia" w:hAnsiTheme="minorEastAsia" w:eastAsiaTheme="minorEastAsia" w:cstheme="minorEastAsia"/>
                <w:bCs w:val="0"/>
                <w:color w:val="auto"/>
                <w:kern w:val="2"/>
                <w:sz w:val="24"/>
                <w:szCs w:val="20"/>
                <w:highlight w:val="none"/>
              </w:rPr>
              <w:t>条款号</w:t>
            </w:r>
          </w:p>
        </w:tc>
        <w:tc>
          <w:tcPr>
            <w:tcW w:w="1173" w:type="pct"/>
            <w:vAlign w:val="center"/>
          </w:tcPr>
          <w:p w14:paraId="3597F980">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Cs w:val="0"/>
                <w:color w:val="auto"/>
                <w:kern w:val="2"/>
                <w:sz w:val="24"/>
                <w:szCs w:val="20"/>
                <w:highlight w:val="none"/>
              </w:rPr>
            </w:pPr>
            <w:r>
              <w:rPr>
                <w:rFonts w:hint="eastAsia" w:asciiTheme="minorEastAsia" w:hAnsiTheme="minorEastAsia" w:eastAsiaTheme="minorEastAsia" w:cstheme="minorEastAsia"/>
                <w:bCs w:val="0"/>
                <w:color w:val="auto"/>
                <w:kern w:val="2"/>
                <w:sz w:val="24"/>
                <w:szCs w:val="20"/>
                <w:highlight w:val="none"/>
              </w:rPr>
              <w:t>条款名称</w:t>
            </w:r>
          </w:p>
        </w:tc>
        <w:tc>
          <w:tcPr>
            <w:tcW w:w="3253" w:type="pct"/>
            <w:vAlign w:val="center"/>
          </w:tcPr>
          <w:p w14:paraId="11263562">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Cs w:val="0"/>
                <w:color w:val="auto"/>
                <w:kern w:val="2"/>
                <w:sz w:val="24"/>
                <w:szCs w:val="20"/>
                <w:highlight w:val="none"/>
              </w:rPr>
            </w:pPr>
            <w:r>
              <w:rPr>
                <w:rFonts w:hint="eastAsia" w:asciiTheme="minorEastAsia" w:hAnsiTheme="minorEastAsia" w:eastAsiaTheme="minorEastAsia" w:cstheme="minorEastAsia"/>
                <w:bCs w:val="0"/>
                <w:color w:val="auto"/>
                <w:kern w:val="2"/>
                <w:sz w:val="24"/>
                <w:szCs w:val="20"/>
                <w:highlight w:val="none"/>
              </w:rPr>
              <w:t>内容、说明与要求</w:t>
            </w:r>
          </w:p>
        </w:tc>
      </w:tr>
      <w:tr w14:paraId="5B28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0115D5FE">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1</w:t>
            </w:r>
            <w:r>
              <w:rPr>
                <w:rFonts w:hint="eastAsia" w:asciiTheme="minorEastAsia" w:hAnsiTheme="minorEastAsia" w:eastAsiaTheme="minorEastAsia" w:cstheme="minorEastAsia"/>
                <w:bCs/>
                <w:color w:val="auto"/>
                <w:kern w:val="2"/>
                <w:highlight w:val="none"/>
              </w:rPr>
              <w:t>.</w:t>
            </w:r>
            <w:r>
              <w:rPr>
                <w:rFonts w:hint="eastAsia" w:asciiTheme="minorEastAsia" w:hAnsiTheme="minorEastAsia" w:eastAsiaTheme="minorEastAsia" w:cstheme="minorEastAsia"/>
                <w:bCs/>
                <w:color w:val="auto"/>
                <w:kern w:val="2"/>
                <w:highlight w:val="none"/>
                <w:lang w:val="en-US" w:eastAsia="zh-CN"/>
              </w:rPr>
              <w:t>5</w:t>
            </w:r>
          </w:p>
        </w:tc>
        <w:tc>
          <w:tcPr>
            <w:tcW w:w="1173" w:type="pct"/>
            <w:vAlign w:val="center"/>
          </w:tcPr>
          <w:p w14:paraId="179CBBC0">
            <w:pPr>
              <w:pStyle w:val="20"/>
              <w:pageBreakBefore w:val="0"/>
              <w:widowControl w:val="0"/>
              <w:kinsoku/>
              <w:overflowPunct/>
              <w:topLinePunct w:val="0"/>
              <w:bidi w:val="0"/>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b w:val="0"/>
                <w:bCs/>
                <w:color w:val="auto"/>
                <w:kern w:val="2"/>
                <w:sz w:val="24"/>
                <w:szCs w:val="22"/>
                <w:highlight w:val="none"/>
                <w:lang w:val="en-US" w:eastAsia="zh-CN" w:bidi="ar-SA"/>
              </w:rPr>
            </w:pPr>
            <w:r>
              <w:rPr>
                <w:rFonts w:hint="eastAsia" w:asciiTheme="minorEastAsia" w:hAnsiTheme="minorEastAsia" w:eastAsiaTheme="minorEastAsia" w:cstheme="minorEastAsia"/>
                <w:b w:val="0"/>
                <w:bCs w:val="0"/>
                <w:color w:val="auto"/>
                <w:sz w:val="24"/>
                <w:highlight w:val="none"/>
              </w:rPr>
              <w:t>监督管理部门</w:t>
            </w:r>
          </w:p>
        </w:tc>
        <w:tc>
          <w:tcPr>
            <w:tcW w:w="3253" w:type="pct"/>
            <w:vAlign w:val="center"/>
          </w:tcPr>
          <w:p w14:paraId="2B83B61B">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Cs w:val="0"/>
                <w:color w:val="auto"/>
                <w:sz w:val="24"/>
                <w:highlight w:val="none"/>
                <w:lang w:eastAsia="zh-CN"/>
              </w:rPr>
            </w:pPr>
            <w:r>
              <w:rPr>
                <w:rFonts w:hint="eastAsia" w:ascii="宋体" w:hAnsi="宋体" w:eastAsia="宋体" w:cs="宋体"/>
                <w:b w:val="0"/>
                <w:bCs w:val="0"/>
                <w:sz w:val="24"/>
                <w:u w:val="single"/>
              </w:rPr>
              <w:t>阜阳市颍州区住房保障中心</w:t>
            </w:r>
          </w:p>
        </w:tc>
      </w:tr>
      <w:tr w14:paraId="4CD0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1D869B69">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eastAsia="zh-CN"/>
              </w:rPr>
            </w:pPr>
            <w:r>
              <w:rPr>
                <w:rFonts w:hint="eastAsia" w:asciiTheme="minorEastAsia" w:hAnsiTheme="minorEastAsia" w:eastAsiaTheme="minorEastAsia" w:cstheme="minorEastAsia"/>
                <w:bCs/>
                <w:color w:val="auto"/>
                <w:kern w:val="2"/>
                <w:highlight w:val="none"/>
                <w:lang w:val="en-US" w:eastAsia="zh-CN"/>
              </w:rPr>
              <w:t>5</w:t>
            </w:r>
            <w:r>
              <w:rPr>
                <w:rFonts w:hint="eastAsia" w:asciiTheme="minorEastAsia" w:hAnsiTheme="minorEastAsia" w:eastAsiaTheme="minorEastAsia" w:cstheme="minorEastAsia"/>
                <w:bCs/>
                <w:color w:val="auto"/>
                <w:kern w:val="2"/>
                <w:highlight w:val="none"/>
              </w:rPr>
              <w:t>.</w:t>
            </w:r>
            <w:r>
              <w:rPr>
                <w:rFonts w:hint="eastAsia" w:asciiTheme="minorEastAsia" w:hAnsiTheme="minorEastAsia" w:eastAsiaTheme="minorEastAsia" w:cstheme="minorEastAsia"/>
                <w:bCs/>
                <w:color w:val="auto"/>
                <w:kern w:val="2"/>
                <w:highlight w:val="none"/>
                <w:lang w:val="en-US" w:eastAsia="zh-CN"/>
              </w:rPr>
              <w:t>2</w:t>
            </w:r>
          </w:p>
        </w:tc>
        <w:tc>
          <w:tcPr>
            <w:tcW w:w="1173" w:type="pct"/>
            <w:vAlign w:val="center"/>
          </w:tcPr>
          <w:p w14:paraId="6F91D48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b w:val="0"/>
                <w:color w:val="auto"/>
                <w:sz w:val="24"/>
                <w:highlight w:val="none"/>
                <w:lang w:eastAsia="zh-CN"/>
              </w:rPr>
            </w:pPr>
            <w:r>
              <w:rPr>
                <w:rFonts w:hint="eastAsia" w:asciiTheme="minorEastAsia" w:hAnsiTheme="minorEastAsia" w:eastAsiaTheme="minorEastAsia" w:cstheme="minorEastAsia"/>
                <w:b w:val="0"/>
                <w:bCs/>
                <w:color w:val="auto"/>
                <w:kern w:val="2"/>
                <w:sz w:val="24"/>
                <w:szCs w:val="22"/>
                <w:highlight w:val="none"/>
                <w:lang w:val="en-US" w:eastAsia="zh-CN" w:bidi="ar-SA"/>
              </w:rPr>
              <w:t>现场考察或标前答疑会</w:t>
            </w:r>
          </w:p>
        </w:tc>
        <w:tc>
          <w:tcPr>
            <w:tcW w:w="3253" w:type="pct"/>
            <w:vAlign w:val="center"/>
          </w:tcPr>
          <w:p w14:paraId="1BC762B7">
            <w:pPr>
              <w:spacing w:line="360" w:lineRule="auto"/>
              <w:rPr>
                <w:rFonts w:hint="default" w:ascii="宋体" w:hAnsi="宋体" w:eastAsia="宋体" w:cs="宋体"/>
                <w:b/>
                <w:bCs/>
                <w:color w:val="FF0000"/>
                <w:sz w:val="24"/>
                <w:highlight w:val="none"/>
                <w:lang w:val="en-US" w:eastAsia="zh-CN"/>
              </w:rPr>
            </w:pPr>
            <w:r>
              <w:rPr>
                <w:rFonts w:hint="eastAsia" w:ascii="宋体" w:hAnsi="宋体" w:eastAsia="宋体" w:cs="宋体"/>
                <w:bCs/>
                <w:sz w:val="24"/>
                <w:szCs w:val="24"/>
                <w:lang w:eastAsia="zh-CN"/>
              </w:rPr>
              <w:t>☑</w:t>
            </w:r>
            <w:r>
              <w:rPr>
                <w:rFonts w:hint="eastAsia" w:ascii="宋体" w:hAnsi="宋体" w:eastAsia="宋体" w:cs="宋体"/>
                <w:sz w:val="24"/>
              </w:rPr>
              <w:t>不组织或不召开</w:t>
            </w:r>
            <w:r>
              <w:rPr>
                <w:rFonts w:hint="eastAsia" w:ascii="宋体" w:hAnsi="宋体" w:eastAsia="宋体" w:cs="宋体"/>
                <w:sz w:val="24"/>
                <w:lang w:eastAsia="zh-CN"/>
              </w:rPr>
              <w:t>，</w:t>
            </w:r>
            <w:r>
              <w:rPr>
                <w:rFonts w:hint="eastAsia" w:ascii="宋体" w:hAnsi="宋体" w:eastAsia="宋体" w:cs="宋体"/>
                <w:b/>
                <w:bCs/>
                <w:color w:val="auto"/>
                <w:sz w:val="24"/>
                <w:highlight w:val="none"/>
                <w:lang w:val="en-US" w:eastAsia="zh-CN"/>
              </w:rPr>
              <w:t>投标人</w:t>
            </w:r>
            <w:r>
              <w:rPr>
                <w:rFonts w:hint="eastAsia" w:ascii="宋体" w:hAnsi="宋体" w:eastAsia="宋体" w:cs="宋体"/>
                <w:b/>
                <w:bCs/>
                <w:color w:val="auto"/>
                <w:sz w:val="24"/>
                <w:highlight w:val="none"/>
                <w:lang w:eastAsia="zh-CN"/>
              </w:rPr>
              <w:t>自行单独前往现场查看，</w:t>
            </w:r>
            <w:r>
              <w:rPr>
                <w:rFonts w:hint="eastAsia" w:ascii="宋体" w:hAnsi="宋体" w:eastAsia="宋体" w:cs="宋体"/>
                <w:b/>
                <w:bCs/>
                <w:color w:val="auto"/>
                <w:sz w:val="24"/>
                <w:highlight w:val="none"/>
                <w:lang w:val="en-US" w:eastAsia="zh-CN"/>
              </w:rPr>
              <w:t>自行联系孙硕了解详情。</w:t>
            </w:r>
          </w:p>
          <w:p w14:paraId="536CA9E7">
            <w:pPr>
              <w:spacing w:line="360" w:lineRule="auto"/>
              <w:rPr>
                <w:rFonts w:ascii="宋体" w:hAnsi="宋体" w:eastAsia="宋体" w:cs="宋体"/>
                <w:bCs/>
                <w:sz w:val="24"/>
                <w:highlight w:val="none"/>
              </w:rPr>
            </w:pPr>
            <w:r>
              <w:rPr>
                <w:rFonts w:hint="eastAsia" w:ascii="宋体" w:hAnsi="宋体" w:eastAsia="宋体" w:cs="宋体"/>
                <w:sz w:val="24"/>
                <w:highlight w:val="none"/>
                <w:lang w:eastAsia="zh-CN"/>
              </w:rPr>
              <w:t>□</w:t>
            </w:r>
            <w:r>
              <w:rPr>
                <w:rFonts w:hint="eastAsia" w:ascii="宋体" w:hAnsi="宋体" w:eastAsia="宋体" w:cs="宋体"/>
                <w:bCs/>
                <w:sz w:val="24"/>
                <w:highlight w:val="none"/>
              </w:rPr>
              <w:t>统一组织或统一召开</w:t>
            </w:r>
          </w:p>
          <w:p w14:paraId="19540BEA">
            <w:pPr>
              <w:spacing w:line="360" w:lineRule="auto"/>
              <w:rPr>
                <w:rFonts w:hint="eastAsia" w:ascii="宋体" w:hAnsi="宋体" w:eastAsia="宋体" w:cs="宋体"/>
                <w:bCs/>
                <w:sz w:val="24"/>
                <w:highlight w:val="none"/>
                <w:u w:val="single"/>
                <w:lang w:eastAsia="zh-CN"/>
              </w:rPr>
            </w:pPr>
            <w:r>
              <w:rPr>
                <w:rFonts w:hint="eastAsia" w:ascii="宋体" w:hAnsi="宋体" w:eastAsia="宋体" w:cs="宋体"/>
                <w:bCs/>
                <w:sz w:val="24"/>
                <w:highlight w:val="none"/>
              </w:rPr>
              <w:t>时间：</w:t>
            </w:r>
            <w:r>
              <w:rPr>
                <w:rFonts w:hint="eastAsia" w:ascii="宋体" w:hAnsi="宋体" w:eastAsia="宋体" w:cs="宋体"/>
                <w:bCs/>
                <w:sz w:val="24"/>
                <w:highlight w:val="none"/>
                <w:u w:val="single"/>
                <w:lang w:val="en-US" w:eastAsia="zh-CN"/>
              </w:rPr>
              <w:t>2026</w:t>
            </w:r>
            <w:r>
              <w:rPr>
                <w:rFonts w:hint="eastAsia" w:ascii="宋体" w:hAnsi="宋体" w:eastAsia="宋体" w:cs="宋体"/>
                <w:bCs/>
                <w:sz w:val="24"/>
                <w:highlight w:val="none"/>
              </w:rPr>
              <w:t>年</w:t>
            </w:r>
            <w:r>
              <w:rPr>
                <w:rFonts w:hint="eastAsia" w:ascii="宋体" w:hAnsi="宋体" w:eastAsia="宋体" w:cs="宋体"/>
                <w:bCs/>
                <w:sz w:val="24"/>
                <w:highlight w:val="none"/>
                <w:u w:val="single"/>
                <w:lang w:val="en-US" w:eastAsia="zh-CN"/>
              </w:rPr>
              <w:t>8</w:t>
            </w:r>
            <w:r>
              <w:rPr>
                <w:rFonts w:hint="eastAsia" w:ascii="宋体" w:hAnsi="宋体" w:eastAsia="宋体" w:cs="宋体"/>
                <w:bCs/>
                <w:sz w:val="24"/>
                <w:highlight w:val="none"/>
              </w:rPr>
              <w:t>月</w:t>
            </w:r>
            <w:r>
              <w:rPr>
                <w:rFonts w:hint="eastAsia" w:ascii="宋体" w:hAnsi="宋体" w:eastAsia="宋体" w:cs="宋体"/>
                <w:bCs/>
                <w:sz w:val="24"/>
                <w:highlight w:val="none"/>
                <w:u w:val="single"/>
                <w:lang w:val="en-US" w:eastAsia="zh-CN"/>
              </w:rPr>
              <w:t>18</w:t>
            </w:r>
            <w:r>
              <w:rPr>
                <w:rFonts w:hint="eastAsia" w:ascii="宋体" w:hAnsi="宋体" w:eastAsia="宋体" w:cs="宋体"/>
                <w:bCs/>
                <w:sz w:val="24"/>
                <w:highlight w:val="none"/>
              </w:rPr>
              <w:t>日</w:t>
            </w:r>
            <w:r>
              <w:rPr>
                <w:rFonts w:hint="eastAsia" w:ascii="宋体" w:hAnsi="宋体" w:eastAsia="宋体" w:cs="宋体"/>
                <w:bCs/>
                <w:sz w:val="24"/>
                <w:highlight w:val="none"/>
                <w:u w:val="single"/>
                <w:lang w:val="en-US" w:eastAsia="zh-CN"/>
              </w:rPr>
              <w:t>15</w:t>
            </w:r>
            <w:r>
              <w:rPr>
                <w:rFonts w:hint="eastAsia" w:ascii="宋体" w:hAnsi="宋体" w:eastAsia="宋体" w:cs="宋体"/>
                <w:bCs/>
                <w:sz w:val="24"/>
                <w:highlight w:val="none"/>
              </w:rPr>
              <w:t>时</w:t>
            </w:r>
            <w:r>
              <w:rPr>
                <w:rFonts w:hint="eastAsia" w:ascii="宋体" w:hAnsi="宋体" w:eastAsia="宋体" w:cs="宋体"/>
                <w:bCs/>
                <w:sz w:val="24"/>
                <w:highlight w:val="none"/>
                <w:u w:val="single"/>
                <w:lang w:val="en-US" w:eastAsia="zh-CN"/>
              </w:rPr>
              <w:t>00</w:t>
            </w:r>
            <w:r>
              <w:rPr>
                <w:rFonts w:hint="eastAsia" w:ascii="宋体" w:hAnsi="宋体" w:eastAsia="宋体" w:cs="宋体"/>
                <w:bCs/>
                <w:sz w:val="24"/>
                <w:highlight w:val="none"/>
              </w:rPr>
              <w:t>分</w:t>
            </w:r>
            <w:r>
              <w:rPr>
                <w:rFonts w:hint="eastAsia" w:ascii="宋体" w:hAnsi="宋体" w:eastAsia="宋体" w:cs="宋体"/>
                <w:bCs/>
                <w:sz w:val="24"/>
                <w:highlight w:val="none"/>
                <w:lang w:val="en-US" w:eastAsia="zh-CN"/>
              </w:rPr>
              <w:t>之前</w:t>
            </w:r>
            <w:r>
              <w:rPr>
                <w:rFonts w:hint="eastAsia" w:ascii="宋体" w:hAnsi="宋体" w:eastAsia="宋体" w:cs="宋体"/>
                <w:bCs/>
                <w:sz w:val="24"/>
                <w:highlight w:val="none"/>
                <w:lang w:eastAsia="zh-CN"/>
              </w:rPr>
              <w:t>（</w:t>
            </w:r>
            <w:r>
              <w:rPr>
                <w:rFonts w:hint="eastAsia" w:ascii="宋体" w:hAnsi="宋体" w:eastAsia="宋体" w:cs="宋体"/>
                <w:bCs/>
                <w:sz w:val="24"/>
                <w:highlight w:val="none"/>
                <w:lang w:val="en-US" w:eastAsia="zh-CN"/>
              </w:rPr>
              <w:t>整个招投标期限</w:t>
            </w:r>
            <w:r>
              <w:rPr>
                <w:rFonts w:hint="eastAsia" w:ascii="宋体" w:hAnsi="宋体" w:eastAsia="宋体" w:cs="宋体"/>
                <w:bCs/>
                <w:sz w:val="24"/>
                <w:highlight w:val="none"/>
                <w:lang w:eastAsia="zh-CN"/>
              </w:rPr>
              <w:t>）</w:t>
            </w:r>
          </w:p>
          <w:p w14:paraId="162D0010">
            <w:pPr>
              <w:spacing w:line="360" w:lineRule="auto"/>
              <w:rPr>
                <w:rFonts w:ascii="宋体" w:hAnsi="宋体" w:eastAsia="宋体" w:cs="宋体"/>
                <w:bCs/>
                <w:sz w:val="24"/>
                <w:highlight w:val="none"/>
                <w:u w:val="single"/>
              </w:rPr>
            </w:pPr>
            <w:r>
              <w:rPr>
                <w:rFonts w:hint="eastAsia" w:ascii="宋体" w:hAnsi="宋体" w:eastAsia="宋体" w:cs="宋体"/>
                <w:bCs/>
                <w:sz w:val="24"/>
                <w:highlight w:val="none"/>
              </w:rPr>
              <w:t>地点：</w:t>
            </w:r>
            <w:r>
              <w:rPr>
                <w:rFonts w:hint="eastAsia" w:ascii="宋体" w:hAnsi="宋体" w:eastAsia="宋体" w:cs="宋体"/>
                <w:bCs/>
                <w:sz w:val="24"/>
                <w:highlight w:val="none"/>
                <w:u w:val="single"/>
              </w:rPr>
              <w:t>阜阳市颍州区</w:t>
            </w:r>
            <w:r>
              <w:rPr>
                <w:rFonts w:hint="eastAsia" w:ascii="宋体" w:hAnsi="宋体" w:eastAsia="宋体" w:cs="宋体"/>
                <w:bCs/>
                <w:sz w:val="24"/>
                <w:highlight w:val="none"/>
                <w:u w:val="single"/>
                <w:lang w:val="en-US" w:eastAsia="zh-CN"/>
              </w:rPr>
              <w:t>颍</w:t>
            </w:r>
            <w:r>
              <w:rPr>
                <w:rFonts w:hint="eastAsia" w:ascii="宋体" w:hAnsi="宋体" w:eastAsia="宋体" w:cs="宋体"/>
                <w:bCs/>
                <w:sz w:val="24"/>
                <w:highlight w:val="none"/>
                <w:u w:val="single"/>
              </w:rPr>
              <w:t>西街道清河西路51号港利上城国际</w:t>
            </w:r>
            <w:r>
              <w:rPr>
                <w:rFonts w:hint="eastAsia" w:ascii="宋体" w:hAnsi="宋体" w:eastAsia="宋体" w:cs="宋体"/>
                <w:bCs/>
                <w:sz w:val="24"/>
                <w:highlight w:val="none"/>
                <w:u w:val="single"/>
                <w:lang w:val="en-US" w:eastAsia="zh-CN"/>
              </w:rPr>
              <w:t>小区</w:t>
            </w:r>
          </w:p>
          <w:p w14:paraId="249E0C61">
            <w:pPr>
              <w:spacing w:line="360" w:lineRule="auto"/>
              <w:rPr>
                <w:rFonts w:ascii="宋体" w:hAnsi="宋体" w:eastAsia="宋体" w:cs="宋体"/>
                <w:bCs/>
                <w:sz w:val="24"/>
                <w:highlight w:val="none"/>
                <w:u w:val="single"/>
              </w:rPr>
            </w:pPr>
            <w:r>
              <w:rPr>
                <w:rFonts w:hint="eastAsia" w:ascii="宋体" w:hAnsi="宋体" w:eastAsia="宋体" w:cs="宋体"/>
                <w:bCs/>
                <w:sz w:val="24"/>
                <w:highlight w:val="none"/>
              </w:rPr>
              <w:t>联系人及联系电话：</w:t>
            </w:r>
            <w:r>
              <w:rPr>
                <w:rFonts w:hint="eastAsia" w:ascii="宋体" w:hAnsi="宋体" w:eastAsia="宋体" w:cs="宋体"/>
                <w:bCs/>
                <w:sz w:val="24"/>
                <w:highlight w:val="none"/>
                <w:u w:val="single"/>
              </w:rPr>
              <w:t>孙硕19165888088</w:t>
            </w:r>
          </w:p>
          <w:p w14:paraId="4B814F6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宋体" w:hAnsi="宋体" w:eastAsia="宋体" w:cs="宋体"/>
                <w:bCs w:val="0"/>
                <w:sz w:val="24"/>
                <w:highlight w:val="none"/>
              </w:rPr>
              <w:t>注：如投标人未参加采购人统一组织的现场考察或采购人统一召开的标前答疑会，视同放弃现场考察或标前答疑会，由此引起的一切责任由投标人自行承担。此考察答疑会不涉及对</w:t>
            </w:r>
            <w:r>
              <w:rPr>
                <w:rFonts w:hint="eastAsia" w:ascii="宋体" w:hAnsi="宋体" w:eastAsia="宋体" w:cs="宋体"/>
                <w:bCs w:val="0"/>
                <w:sz w:val="24"/>
                <w:highlight w:val="none"/>
                <w:lang w:val="en-US" w:eastAsia="zh-CN"/>
              </w:rPr>
              <w:t>采购</w:t>
            </w:r>
            <w:r>
              <w:rPr>
                <w:rFonts w:hint="eastAsia" w:ascii="宋体" w:hAnsi="宋体" w:eastAsia="宋体" w:cs="宋体"/>
                <w:bCs w:val="0"/>
                <w:sz w:val="24"/>
                <w:highlight w:val="none"/>
              </w:rPr>
              <w:t>文件的质疑答复，对</w:t>
            </w:r>
            <w:r>
              <w:rPr>
                <w:rFonts w:hint="eastAsia" w:ascii="宋体" w:hAnsi="宋体" w:eastAsia="宋体" w:cs="宋体"/>
                <w:bCs w:val="0"/>
                <w:sz w:val="24"/>
                <w:highlight w:val="none"/>
                <w:lang w:val="en-US" w:eastAsia="zh-CN"/>
              </w:rPr>
              <w:t>采购</w:t>
            </w:r>
            <w:r>
              <w:rPr>
                <w:rFonts w:hint="eastAsia" w:ascii="宋体" w:hAnsi="宋体" w:eastAsia="宋体" w:cs="宋体"/>
                <w:bCs w:val="0"/>
                <w:sz w:val="24"/>
                <w:highlight w:val="none"/>
              </w:rPr>
              <w:t>文件的质疑请按本文件规定执行。</w:t>
            </w:r>
          </w:p>
        </w:tc>
      </w:tr>
      <w:tr w14:paraId="3FFE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7167C546">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lang w:val="en-US" w:eastAsia="zh-CN"/>
              </w:rPr>
              <w:t>6</w:t>
            </w:r>
            <w:r>
              <w:rPr>
                <w:rFonts w:hint="eastAsia" w:asciiTheme="minorEastAsia" w:hAnsiTheme="minorEastAsia" w:eastAsiaTheme="minorEastAsia" w:cstheme="minorEastAsia"/>
                <w:bCs/>
                <w:color w:val="auto"/>
                <w:kern w:val="2"/>
                <w:highlight w:val="none"/>
              </w:rPr>
              <w:t>.1</w:t>
            </w:r>
          </w:p>
        </w:tc>
        <w:tc>
          <w:tcPr>
            <w:tcW w:w="1173" w:type="pct"/>
            <w:vAlign w:val="center"/>
          </w:tcPr>
          <w:p w14:paraId="746B2488">
            <w:pPr>
              <w:pStyle w:val="20"/>
              <w:pageBreakBefore w:val="0"/>
              <w:widowControl w:val="0"/>
              <w:kinsoku/>
              <w:overflowPunct/>
              <w:topLinePunct w:val="0"/>
              <w:bidi w:val="0"/>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网上询问截止时间</w:t>
            </w:r>
          </w:p>
        </w:tc>
        <w:tc>
          <w:tcPr>
            <w:tcW w:w="3253" w:type="pct"/>
            <w:vAlign w:val="center"/>
          </w:tcPr>
          <w:p w14:paraId="0172315D">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u w:val="single"/>
                <w:lang w:val="en-US" w:eastAsia="zh-CN"/>
              </w:rPr>
              <w:t>2026</w:t>
            </w:r>
            <w:r>
              <w:rPr>
                <w:rFonts w:hint="eastAsia" w:asciiTheme="minorEastAsia" w:hAnsiTheme="minorEastAsia" w:eastAsiaTheme="minorEastAsia" w:cstheme="minorEastAsia"/>
                <w:b w:val="0"/>
                <w:color w:val="auto"/>
                <w:sz w:val="24"/>
                <w:highlight w:val="none"/>
              </w:rPr>
              <w:t>年</w:t>
            </w:r>
            <w:r>
              <w:rPr>
                <w:rFonts w:hint="eastAsia" w:asciiTheme="minorEastAsia" w:hAnsiTheme="minorEastAsia" w:eastAsiaTheme="minorEastAsia" w:cstheme="minorEastAsia"/>
                <w:b w:val="0"/>
                <w:color w:val="auto"/>
                <w:sz w:val="24"/>
                <w:highlight w:val="none"/>
                <w:u w:val="single"/>
                <w:lang w:val="en-US" w:eastAsia="zh-CN"/>
              </w:rPr>
              <w:t>8</w:t>
            </w:r>
            <w:r>
              <w:rPr>
                <w:rFonts w:hint="eastAsia" w:asciiTheme="minorEastAsia" w:hAnsiTheme="minorEastAsia" w:eastAsiaTheme="minorEastAsia" w:cstheme="minorEastAsia"/>
                <w:b w:val="0"/>
                <w:color w:val="auto"/>
                <w:sz w:val="24"/>
                <w:highlight w:val="none"/>
              </w:rPr>
              <w:t>月</w:t>
            </w:r>
            <w:r>
              <w:rPr>
                <w:rFonts w:hint="eastAsia" w:asciiTheme="minorEastAsia" w:hAnsiTheme="minorEastAsia" w:eastAsiaTheme="minorEastAsia" w:cstheme="minorEastAsia"/>
                <w:b w:val="0"/>
                <w:color w:val="auto"/>
                <w:sz w:val="24"/>
                <w:highlight w:val="none"/>
                <w:u w:val="single"/>
                <w:lang w:val="en-US" w:eastAsia="zh-CN"/>
              </w:rPr>
              <w:t>17</w:t>
            </w:r>
            <w:r>
              <w:rPr>
                <w:rFonts w:hint="eastAsia" w:asciiTheme="minorEastAsia" w:hAnsiTheme="minorEastAsia" w:eastAsiaTheme="minorEastAsia" w:cstheme="minorEastAsia"/>
                <w:b w:val="0"/>
                <w:color w:val="auto"/>
                <w:sz w:val="24"/>
                <w:highlight w:val="none"/>
              </w:rPr>
              <w:t>日</w:t>
            </w:r>
            <w:r>
              <w:rPr>
                <w:rFonts w:hint="eastAsia" w:asciiTheme="minorEastAsia" w:hAnsiTheme="minorEastAsia" w:eastAsiaTheme="minorEastAsia" w:cstheme="minorEastAsia"/>
                <w:b w:val="0"/>
                <w:color w:val="auto"/>
                <w:sz w:val="24"/>
                <w:highlight w:val="none"/>
                <w:u w:val="single"/>
                <w:lang w:val="en-US" w:eastAsia="zh-CN"/>
              </w:rPr>
              <w:t>9</w:t>
            </w:r>
            <w:r>
              <w:rPr>
                <w:rFonts w:hint="eastAsia" w:asciiTheme="minorEastAsia" w:hAnsiTheme="minorEastAsia" w:eastAsiaTheme="minorEastAsia" w:cstheme="minorEastAsia"/>
                <w:b w:val="0"/>
                <w:color w:val="auto"/>
                <w:sz w:val="24"/>
                <w:highlight w:val="none"/>
              </w:rPr>
              <w:t>时</w:t>
            </w:r>
            <w:r>
              <w:rPr>
                <w:rFonts w:hint="eastAsia" w:asciiTheme="minorEastAsia" w:hAnsiTheme="minorEastAsia" w:eastAsiaTheme="minorEastAsia" w:cstheme="minorEastAsia"/>
                <w:b w:val="0"/>
                <w:color w:val="auto"/>
                <w:sz w:val="24"/>
                <w:highlight w:val="none"/>
                <w:u w:val="single"/>
                <w:lang w:val="en-US" w:eastAsia="zh-CN"/>
              </w:rPr>
              <w:t>30</w:t>
            </w:r>
            <w:r>
              <w:rPr>
                <w:rFonts w:hint="eastAsia" w:asciiTheme="minorEastAsia" w:hAnsiTheme="minorEastAsia" w:eastAsiaTheme="minorEastAsia" w:cstheme="minorEastAsia"/>
                <w:b w:val="0"/>
                <w:color w:val="auto"/>
                <w:sz w:val="24"/>
                <w:highlight w:val="none"/>
              </w:rPr>
              <w:t>分</w:t>
            </w:r>
          </w:p>
        </w:tc>
      </w:tr>
      <w:tr w14:paraId="528E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70D3F86C">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lang w:val="en-US" w:eastAsia="zh-CN"/>
              </w:rPr>
              <w:t>7</w:t>
            </w:r>
            <w:r>
              <w:rPr>
                <w:rFonts w:hint="eastAsia" w:asciiTheme="minorEastAsia" w:hAnsiTheme="minorEastAsia" w:eastAsiaTheme="minorEastAsia" w:cstheme="minorEastAsia"/>
                <w:bCs/>
                <w:color w:val="auto"/>
                <w:kern w:val="2"/>
                <w:highlight w:val="none"/>
              </w:rPr>
              <w:t>.1</w:t>
            </w:r>
          </w:p>
        </w:tc>
        <w:tc>
          <w:tcPr>
            <w:tcW w:w="1173" w:type="pct"/>
            <w:vAlign w:val="center"/>
          </w:tcPr>
          <w:p w14:paraId="0A7B8099">
            <w:pPr>
              <w:pStyle w:val="20"/>
              <w:pageBreakBefore w:val="0"/>
              <w:widowControl w:val="0"/>
              <w:kinsoku/>
              <w:overflowPunct/>
              <w:topLinePunct w:val="0"/>
              <w:bidi w:val="0"/>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包别划分</w:t>
            </w:r>
          </w:p>
        </w:tc>
        <w:tc>
          <w:tcPr>
            <w:tcW w:w="3253" w:type="pct"/>
            <w:vAlign w:val="center"/>
          </w:tcPr>
          <w:p w14:paraId="522979D7">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bCs w:val="0"/>
                <w:color w:val="auto"/>
                <w:sz w:val="24"/>
                <w:szCs w:val="24"/>
                <w:highlight w:val="none"/>
                <w:lang w:eastAsia="zh-CN"/>
              </w:rPr>
              <w:t>☑</w:t>
            </w:r>
            <w:r>
              <w:rPr>
                <w:rFonts w:hint="eastAsia" w:asciiTheme="minorEastAsia" w:hAnsiTheme="minorEastAsia" w:eastAsiaTheme="minorEastAsia" w:cstheme="minorEastAsia"/>
                <w:b w:val="0"/>
                <w:color w:val="auto"/>
                <w:sz w:val="24"/>
                <w:highlight w:val="none"/>
              </w:rPr>
              <w:t>不</w:t>
            </w:r>
            <w:r>
              <w:rPr>
                <w:rFonts w:hint="eastAsia" w:asciiTheme="minorEastAsia" w:hAnsiTheme="minorEastAsia" w:eastAsiaTheme="minorEastAsia" w:cstheme="minorEastAsia"/>
                <w:b w:val="0"/>
                <w:color w:val="auto"/>
                <w:sz w:val="24"/>
                <w:highlight w:val="none"/>
                <w:lang w:val="en-US" w:eastAsia="zh-CN"/>
              </w:rPr>
              <w:t>划分</w:t>
            </w:r>
            <w:r>
              <w:rPr>
                <w:rFonts w:hint="eastAsia" w:asciiTheme="minorEastAsia" w:hAnsiTheme="minorEastAsia" w:eastAsiaTheme="minorEastAsia" w:cstheme="minorEastAsia"/>
                <w:b w:val="0"/>
                <w:color w:val="auto"/>
                <w:sz w:val="24"/>
                <w:highlight w:val="none"/>
              </w:rPr>
              <w:t xml:space="preserve">     </w:t>
            </w:r>
          </w:p>
          <w:p w14:paraId="0F41F65B">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lang w:eastAsia="zh-CN"/>
              </w:rPr>
              <w:t>□</w:t>
            </w:r>
            <w:r>
              <w:rPr>
                <w:rFonts w:hint="eastAsia" w:asciiTheme="minorEastAsia" w:hAnsiTheme="minorEastAsia" w:eastAsiaTheme="minorEastAsia" w:cstheme="minorEastAsia"/>
                <w:b w:val="0"/>
                <w:color w:val="auto"/>
                <w:sz w:val="24"/>
                <w:highlight w:val="none"/>
              </w:rPr>
              <w:t>分为</w:t>
            </w:r>
            <w:r>
              <w:rPr>
                <w:rFonts w:hint="eastAsia" w:asciiTheme="minorEastAsia" w:hAnsiTheme="minorEastAsia" w:eastAsiaTheme="minorEastAsia" w:cstheme="minorEastAsia"/>
                <w:b w:val="0"/>
                <w:color w:val="auto"/>
                <w:sz w:val="24"/>
                <w:highlight w:val="none"/>
                <w:u w:val="single"/>
                <w:lang w:val="en-US" w:eastAsia="zh-CN"/>
              </w:rPr>
              <w:t xml:space="preserve">    </w:t>
            </w:r>
            <w:r>
              <w:rPr>
                <w:rFonts w:hint="eastAsia" w:asciiTheme="minorEastAsia" w:hAnsiTheme="minorEastAsia" w:eastAsiaTheme="minorEastAsia" w:cstheme="minorEastAsia"/>
                <w:b w:val="0"/>
                <w:color w:val="auto"/>
                <w:sz w:val="24"/>
                <w:highlight w:val="none"/>
              </w:rPr>
              <w:t>个包</w:t>
            </w:r>
          </w:p>
          <w:p w14:paraId="29AFA05E">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color w:val="auto"/>
                <w:sz w:val="24"/>
                <w:highlight w:val="none"/>
              </w:rPr>
              <w:t>投标人对多个包进行投标的中标包数规定：</w:t>
            </w:r>
            <w:r>
              <w:rPr>
                <w:rFonts w:hint="eastAsia" w:asciiTheme="minorEastAsia" w:hAnsiTheme="minorEastAsia" w:eastAsiaTheme="minorEastAsia" w:cstheme="minorEastAsia"/>
                <w:b w:val="0"/>
                <w:bCs w:val="0"/>
                <w:color w:val="auto"/>
                <w:sz w:val="24"/>
                <w:szCs w:val="18"/>
                <w:highlight w:val="none"/>
                <w:u w:val="single"/>
              </w:rPr>
              <w:t xml:space="preserve">        </w:t>
            </w:r>
            <w:r>
              <w:rPr>
                <w:rFonts w:hint="eastAsia" w:asciiTheme="minorEastAsia" w:hAnsiTheme="minorEastAsia" w:eastAsiaTheme="minorEastAsia" w:cstheme="minorEastAsia"/>
                <w:b w:val="0"/>
                <w:bCs w:val="0"/>
                <w:i/>
                <w:iCs/>
                <w:color w:val="auto"/>
                <w:kern w:val="0"/>
                <w:sz w:val="24"/>
                <w:szCs w:val="28"/>
                <w:highlight w:val="none"/>
                <w:u w:val="single"/>
                <w:lang w:val="en-US" w:eastAsia="zh-CN"/>
              </w:rPr>
              <w:t>（项目有分包的，请写明投标人可参与其中某一个或多个分包的投标，及可中标包数规定）</w:t>
            </w:r>
          </w:p>
        </w:tc>
      </w:tr>
      <w:tr w14:paraId="77B9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73" w:type="pct"/>
            <w:vAlign w:val="center"/>
          </w:tcPr>
          <w:p w14:paraId="3150CB38">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0</w:t>
            </w:r>
            <w:r>
              <w:rPr>
                <w:rFonts w:hint="eastAsia" w:asciiTheme="minorEastAsia" w:hAnsiTheme="minorEastAsia" w:eastAsiaTheme="minorEastAsia" w:cstheme="minorEastAsia"/>
                <w:bCs/>
                <w:color w:val="auto"/>
                <w:kern w:val="2"/>
                <w:highlight w:val="none"/>
              </w:rPr>
              <w:t>.1</w:t>
            </w:r>
          </w:p>
        </w:tc>
        <w:tc>
          <w:tcPr>
            <w:tcW w:w="1173" w:type="pct"/>
            <w:vAlign w:val="center"/>
          </w:tcPr>
          <w:p w14:paraId="52C1CD75">
            <w:pPr>
              <w:pStyle w:val="20"/>
              <w:pageBreakBefore w:val="0"/>
              <w:widowControl w:val="0"/>
              <w:kinsoku/>
              <w:overflowPunct/>
              <w:topLinePunct w:val="0"/>
              <w:bidi w:val="0"/>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投标保证金</w:t>
            </w:r>
          </w:p>
        </w:tc>
        <w:tc>
          <w:tcPr>
            <w:tcW w:w="3253" w:type="pct"/>
            <w:vAlign w:val="center"/>
          </w:tcPr>
          <w:p w14:paraId="7F9DF48A">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bCs/>
                <w:color w:val="auto"/>
                <w:kern w:val="0"/>
                <w:sz w:val="24"/>
                <w:szCs w:val="28"/>
                <w:highlight w:val="none"/>
                <w:lang w:val="en-US" w:eastAsia="zh-CN"/>
              </w:rPr>
              <w:t>免收</w:t>
            </w:r>
          </w:p>
        </w:tc>
      </w:tr>
      <w:tr w14:paraId="0170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2A06872B">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r>
              <w:rPr>
                <w:rFonts w:hint="eastAsia" w:asciiTheme="minorEastAsia" w:hAnsiTheme="minorEastAsia" w:eastAsiaTheme="minorEastAsia" w:cstheme="minorEastAsia"/>
                <w:bCs/>
                <w:color w:val="auto"/>
                <w:kern w:val="2"/>
                <w:highlight w:val="none"/>
                <w:lang w:val="en-US" w:eastAsia="zh-CN"/>
              </w:rPr>
              <w:t>1</w:t>
            </w:r>
            <w:r>
              <w:rPr>
                <w:rFonts w:hint="eastAsia" w:asciiTheme="minorEastAsia" w:hAnsiTheme="minorEastAsia" w:eastAsiaTheme="minorEastAsia" w:cstheme="minorEastAsia"/>
                <w:bCs/>
                <w:color w:val="auto"/>
                <w:kern w:val="2"/>
                <w:highlight w:val="none"/>
              </w:rPr>
              <w:t>.1</w:t>
            </w:r>
          </w:p>
        </w:tc>
        <w:tc>
          <w:tcPr>
            <w:tcW w:w="1173" w:type="pct"/>
            <w:vAlign w:val="center"/>
          </w:tcPr>
          <w:p w14:paraId="1838645A">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投标有效期</w:t>
            </w:r>
          </w:p>
        </w:tc>
        <w:tc>
          <w:tcPr>
            <w:tcW w:w="3253" w:type="pct"/>
            <w:vAlign w:val="center"/>
          </w:tcPr>
          <w:p w14:paraId="70A71E39">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u w:val="single"/>
                <w:lang w:val="en-US" w:eastAsia="zh-CN"/>
              </w:rPr>
              <w:t>120</w:t>
            </w:r>
            <w:r>
              <w:rPr>
                <w:rFonts w:hint="eastAsia" w:asciiTheme="minorEastAsia" w:hAnsiTheme="minorEastAsia" w:eastAsiaTheme="minorEastAsia" w:cstheme="minorEastAsia"/>
                <w:b w:val="0"/>
                <w:color w:val="auto"/>
                <w:sz w:val="24"/>
                <w:highlight w:val="none"/>
              </w:rPr>
              <w:t>日历日</w:t>
            </w:r>
          </w:p>
        </w:tc>
      </w:tr>
      <w:tr w14:paraId="66B4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75B79C87">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lang w:val="en-US" w:eastAsia="zh-CN"/>
              </w:rPr>
              <w:t>12.1</w:t>
            </w:r>
          </w:p>
        </w:tc>
        <w:tc>
          <w:tcPr>
            <w:tcW w:w="1173" w:type="pct"/>
            <w:vAlign w:val="center"/>
          </w:tcPr>
          <w:p w14:paraId="073F1678">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投标文件要求</w:t>
            </w:r>
          </w:p>
        </w:tc>
        <w:tc>
          <w:tcPr>
            <w:tcW w:w="3253" w:type="pct"/>
            <w:vAlign w:val="center"/>
          </w:tcPr>
          <w:p w14:paraId="64BB7140">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spacing w:val="0"/>
                <w:w w:val="100"/>
                <w:kern w:val="0"/>
                <w:position w:val="0"/>
                <w:sz w:val="24"/>
                <w:szCs w:val="28"/>
                <w:highlight w:val="yellow"/>
                <w:u w:val="none"/>
                <w:lang w:val="en-US" w:eastAsia="zh-CN" w:bidi="ar-SA"/>
              </w:rPr>
            </w:pPr>
            <w:r>
              <w:rPr>
                <w:rFonts w:hint="eastAsia" w:asciiTheme="minorEastAsia" w:hAnsiTheme="minorEastAsia" w:eastAsiaTheme="minorEastAsia" w:cstheme="minorEastAsia"/>
                <w:b w:val="0"/>
                <w:bCs/>
                <w:color w:val="auto"/>
                <w:spacing w:val="0"/>
                <w:w w:val="100"/>
                <w:kern w:val="0"/>
                <w:position w:val="0"/>
                <w:sz w:val="24"/>
                <w:szCs w:val="28"/>
                <w:highlight w:val="none"/>
                <w:u w:val="none"/>
                <w:lang w:val="en-US" w:eastAsia="zh-CN" w:bidi="ar-SA"/>
              </w:rPr>
              <w:t>详见招标公告</w:t>
            </w:r>
          </w:p>
        </w:tc>
      </w:tr>
      <w:tr w14:paraId="0C5A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0B251D6E">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 w:val="0"/>
                <w:color w:val="auto"/>
                <w:sz w:val="24"/>
                <w:highlight w:val="none"/>
                <w:lang w:val="en-US" w:eastAsia="zh-CN"/>
              </w:rPr>
              <w:t>13.2</w:t>
            </w:r>
          </w:p>
        </w:tc>
        <w:tc>
          <w:tcPr>
            <w:tcW w:w="1173" w:type="pct"/>
            <w:vAlign w:val="center"/>
          </w:tcPr>
          <w:p w14:paraId="2AA2F4EA">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开标地点</w:t>
            </w:r>
          </w:p>
        </w:tc>
        <w:tc>
          <w:tcPr>
            <w:tcW w:w="3253" w:type="pct"/>
            <w:vAlign w:val="center"/>
          </w:tcPr>
          <w:p w14:paraId="6701E0E6">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none"/>
              </w:rPr>
            </w:pPr>
            <w:r>
              <w:rPr>
                <w:rFonts w:hint="eastAsia" w:asciiTheme="minorEastAsia" w:hAnsiTheme="minorEastAsia" w:eastAsiaTheme="minorEastAsia" w:cstheme="minorEastAsia"/>
                <w:b w:val="0"/>
                <w:color w:val="auto"/>
                <w:sz w:val="24"/>
                <w:highlight w:val="none"/>
                <w:u w:val="none"/>
              </w:rPr>
              <w:t>详见</w:t>
            </w:r>
            <w:r>
              <w:rPr>
                <w:rFonts w:hint="eastAsia" w:asciiTheme="minorEastAsia" w:hAnsiTheme="minorEastAsia" w:eastAsiaTheme="minorEastAsia" w:cstheme="minorEastAsia"/>
                <w:b w:val="0"/>
                <w:color w:val="auto"/>
                <w:sz w:val="24"/>
                <w:highlight w:val="none"/>
                <w:u w:val="none"/>
                <w:lang w:val="en-US" w:eastAsia="zh-CN"/>
              </w:rPr>
              <w:t>招标公告</w:t>
            </w:r>
          </w:p>
          <w:p w14:paraId="1EB79C60">
            <w:pPr>
              <w:spacing w:line="360" w:lineRule="auto"/>
              <w:rPr>
                <w:rFonts w:hint="eastAsia" w:ascii="宋体" w:hAnsi="宋体" w:eastAsia="宋体" w:cs="宋体"/>
                <w:b w:val="0"/>
                <w:bCs/>
                <w:color w:val="auto"/>
                <w:sz w:val="24"/>
                <w:highlight w:val="none"/>
                <w:u w:val="single"/>
              </w:rPr>
            </w:pPr>
            <w:r>
              <w:rPr>
                <w:rFonts w:hint="eastAsia" w:asciiTheme="minorEastAsia" w:hAnsiTheme="minorEastAsia" w:eastAsiaTheme="minorEastAsia" w:cstheme="minorEastAsia"/>
                <w:b w:val="0"/>
                <w:color w:val="auto"/>
                <w:sz w:val="24"/>
                <w:highlight w:val="none"/>
                <w:u w:val="none"/>
              </w:rPr>
              <w:t>注：投标人可以在线解密投标文件，</w:t>
            </w:r>
            <w:r>
              <w:rPr>
                <w:rFonts w:hint="eastAsia" w:asciiTheme="minorEastAsia" w:hAnsiTheme="minorEastAsia" w:eastAsiaTheme="minorEastAsia" w:cstheme="minorEastAsia"/>
                <w:b/>
                <w:bCs/>
                <w:color w:val="auto"/>
                <w:sz w:val="24"/>
                <w:highlight w:val="none"/>
                <w:u w:val="none"/>
                <w:lang w:val="en-US" w:eastAsia="zh-CN"/>
              </w:rPr>
              <w:t>投标人可自愿到现场参加开标会，若到现场，邀请法定代表人（携带法定代表人身份证明及本人身份证）或委托代理人（携带授权委托书及本人身份证）</w:t>
            </w:r>
            <w:r>
              <w:rPr>
                <w:rFonts w:hint="eastAsia" w:asciiTheme="minorEastAsia" w:hAnsiTheme="minorEastAsia" w:eastAsiaTheme="minorEastAsia" w:cstheme="minorEastAsia"/>
                <w:b/>
                <w:bCs/>
                <w:color w:val="auto"/>
                <w:sz w:val="24"/>
                <w:highlight w:val="none"/>
                <w:u w:val="none"/>
              </w:rPr>
              <w:t>到</w:t>
            </w:r>
            <w:r>
              <w:rPr>
                <w:rFonts w:hint="eastAsia" w:asciiTheme="minorEastAsia" w:hAnsiTheme="minorEastAsia" w:eastAsiaTheme="minorEastAsia" w:cstheme="minorEastAsia"/>
                <w:b/>
                <w:bCs/>
                <w:color w:val="auto"/>
                <w:sz w:val="24"/>
                <w:highlight w:val="none"/>
                <w:u w:val="none"/>
                <w:lang w:val="en-US" w:eastAsia="zh-CN"/>
              </w:rPr>
              <w:t>开标</w:t>
            </w:r>
            <w:r>
              <w:rPr>
                <w:rFonts w:hint="eastAsia" w:asciiTheme="minorEastAsia" w:hAnsiTheme="minorEastAsia" w:eastAsiaTheme="minorEastAsia" w:cstheme="minorEastAsia"/>
                <w:b/>
                <w:bCs/>
                <w:color w:val="auto"/>
                <w:sz w:val="24"/>
                <w:highlight w:val="none"/>
                <w:u w:val="none"/>
              </w:rPr>
              <w:t>现场</w:t>
            </w:r>
            <w:r>
              <w:rPr>
                <w:rFonts w:hint="eastAsia" w:ascii="宋体" w:hAnsi="宋体" w:eastAsia="宋体" w:cs="宋体"/>
                <w:b/>
                <w:bCs/>
                <w:color w:val="auto"/>
                <w:sz w:val="24"/>
                <w:highlight w:val="none"/>
                <w:u w:val="none"/>
              </w:rPr>
              <w:t>。</w:t>
            </w:r>
            <w:r>
              <w:rPr>
                <w:rFonts w:hint="eastAsia" w:ascii="宋体" w:hAnsi="宋体" w:eastAsia="宋体" w:cs="宋体"/>
                <w:b/>
                <w:bCs w:val="0"/>
                <w:color w:val="auto"/>
                <w:sz w:val="24"/>
                <w:highlight w:val="none"/>
                <w:u w:val="none"/>
              </w:rPr>
              <w:t>以上证明、证件均为原件</w:t>
            </w:r>
            <w:r>
              <w:rPr>
                <w:rFonts w:hint="eastAsia" w:ascii="宋体" w:hAnsi="宋体" w:eastAsia="宋体" w:cs="宋体"/>
                <w:b/>
                <w:bCs w:val="0"/>
                <w:color w:val="auto"/>
                <w:sz w:val="24"/>
                <w:highlight w:val="none"/>
                <w:u w:val="none"/>
                <w:lang w:val="en-US" w:eastAsia="zh-CN"/>
              </w:rPr>
              <w:t>并现场查验</w:t>
            </w:r>
            <w:r>
              <w:rPr>
                <w:rFonts w:hint="eastAsia" w:ascii="宋体" w:hAnsi="宋体" w:eastAsia="宋体" w:cs="宋体"/>
                <w:b/>
                <w:bCs w:val="0"/>
                <w:color w:val="auto"/>
                <w:sz w:val="24"/>
                <w:highlight w:val="none"/>
                <w:u w:val="none"/>
              </w:rPr>
              <w:t>。</w:t>
            </w:r>
          </w:p>
          <w:p w14:paraId="3C420041">
            <w:pPr>
              <w:spacing w:line="360" w:lineRule="auto"/>
              <w:rPr>
                <w:rFonts w:hint="eastAsia" w:asciiTheme="minorEastAsia" w:hAnsiTheme="minorEastAsia" w:eastAsiaTheme="minorEastAsia" w:cstheme="minorEastAsia"/>
                <w:b w:val="0"/>
                <w:bCs/>
                <w:color w:val="auto"/>
                <w:kern w:val="0"/>
                <w:sz w:val="24"/>
                <w:szCs w:val="28"/>
                <w:highlight w:val="none"/>
                <w:u w:val="none"/>
                <w:lang w:val="en-US" w:eastAsia="zh-CN" w:bidi="ar-SA"/>
              </w:rPr>
            </w:pPr>
            <w:r>
              <w:rPr>
                <w:rFonts w:hint="eastAsia" w:asciiTheme="minorEastAsia" w:hAnsiTheme="minorEastAsia" w:eastAsiaTheme="minorEastAsia" w:cstheme="minorEastAsia"/>
                <w:b w:val="0"/>
                <w:bCs/>
                <w:color w:val="auto"/>
                <w:kern w:val="0"/>
                <w:sz w:val="24"/>
                <w:szCs w:val="28"/>
                <w:highlight w:val="none"/>
                <w:u w:val="none"/>
                <w:lang w:val="en-US" w:eastAsia="zh-CN" w:bidi="ar-SA"/>
              </w:rPr>
              <w:t>地址：安徽省合肥市包河区福州路3436号千城大厦七楼</w:t>
            </w:r>
          </w:p>
          <w:p w14:paraId="4A7FD5A1">
            <w:pPr>
              <w:spacing w:line="360" w:lineRule="auto"/>
              <w:rPr>
                <w:rFonts w:hint="default" w:asciiTheme="minorEastAsia" w:hAnsiTheme="minorEastAsia" w:eastAsiaTheme="minorEastAsia" w:cstheme="minorEastAsia"/>
                <w:b w:val="0"/>
                <w:bCs w:val="0"/>
                <w:color w:val="auto"/>
                <w:sz w:val="24"/>
                <w:szCs w:val="24"/>
                <w:highlight w:val="none"/>
                <w:lang w:val="en-US"/>
              </w:rPr>
            </w:pPr>
            <w:r>
              <w:rPr>
                <w:rFonts w:hint="eastAsia" w:asciiTheme="minorEastAsia" w:hAnsiTheme="minorEastAsia" w:eastAsiaTheme="minorEastAsia" w:cstheme="minorEastAsia"/>
                <w:b w:val="0"/>
                <w:bCs/>
                <w:color w:val="auto"/>
                <w:kern w:val="0"/>
                <w:sz w:val="24"/>
                <w:szCs w:val="28"/>
                <w:highlight w:val="none"/>
                <w:u w:val="none"/>
                <w:lang w:val="en-US" w:eastAsia="zh-CN" w:bidi="ar-SA"/>
              </w:rPr>
              <w:t>盛唐工程咨询集团有限公司开标室</w:t>
            </w:r>
          </w:p>
        </w:tc>
      </w:tr>
      <w:tr w14:paraId="3F76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0A6AEE12">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14.2</w:t>
            </w:r>
          </w:p>
        </w:tc>
        <w:tc>
          <w:tcPr>
            <w:tcW w:w="1173" w:type="pct"/>
            <w:vAlign w:val="center"/>
          </w:tcPr>
          <w:p w14:paraId="6ACA40FE">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lang w:val="en-US" w:eastAsia="zh-CN"/>
              </w:rPr>
              <w:t>投标人不得存在的情形</w:t>
            </w:r>
          </w:p>
        </w:tc>
        <w:tc>
          <w:tcPr>
            <w:tcW w:w="3253" w:type="pct"/>
            <w:vAlign w:val="center"/>
          </w:tcPr>
          <w:p w14:paraId="333649AB">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18"/>
                <w:highlight w:val="none"/>
                <w:u w:val="single"/>
              </w:rPr>
              <w:t xml:space="preserve">    </w:t>
            </w:r>
            <w:r>
              <w:rPr>
                <w:rFonts w:hint="eastAsia" w:asciiTheme="minorEastAsia" w:hAnsiTheme="minorEastAsia" w:eastAsiaTheme="minorEastAsia" w:cstheme="minorEastAsia"/>
                <w:b w:val="0"/>
                <w:bCs w:val="0"/>
                <w:color w:val="auto"/>
                <w:sz w:val="24"/>
                <w:szCs w:val="18"/>
                <w:highlight w:val="none"/>
                <w:u w:val="single"/>
                <w:lang w:val="en-US" w:eastAsia="zh-CN"/>
              </w:rPr>
              <w:t>/</w:t>
            </w:r>
            <w:r>
              <w:rPr>
                <w:rFonts w:hint="eastAsia" w:asciiTheme="minorEastAsia" w:hAnsiTheme="minorEastAsia" w:eastAsiaTheme="minorEastAsia" w:cstheme="minorEastAsia"/>
                <w:b w:val="0"/>
                <w:bCs w:val="0"/>
                <w:color w:val="auto"/>
                <w:sz w:val="24"/>
                <w:szCs w:val="18"/>
                <w:highlight w:val="none"/>
                <w:u w:val="single"/>
              </w:rPr>
              <w:t xml:space="preserve">     </w:t>
            </w:r>
          </w:p>
        </w:tc>
      </w:tr>
      <w:tr w14:paraId="0BC1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79B1C334">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lang w:val="en-US" w:eastAsia="zh-CN"/>
              </w:rPr>
              <w:t>17</w:t>
            </w:r>
            <w:r>
              <w:rPr>
                <w:rFonts w:hint="eastAsia" w:asciiTheme="minorEastAsia" w:hAnsiTheme="minorEastAsia" w:eastAsiaTheme="minorEastAsia" w:cstheme="minorEastAsia"/>
                <w:bCs/>
                <w:color w:val="auto"/>
                <w:kern w:val="2"/>
                <w:highlight w:val="none"/>
              </w:rPr>
              <w:t>.2</w:t>
            </w:r>
          </w:p>
        </w:tc>
        <w:tc>
          <w:tcPr>
            <w:tcW w:w="1173" w:type="pct"/>
            <w:vAlign w:val="center"/>
          </w:tcPr>
          <w:p w14:paraId="68509D88">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评标方法</w:t>
            </w:r>
          </w:p>
        </w:tc>
        <w:tc>
          <w:tcPr>
            <w:tcW w:w="3253" w:type="pct"/>
            <w:vAlign w:val="center"/>
          </w:tcPr>
          <w:p w14:paraId="07F9E61B">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u w:val="none"/>
              </w:rPr>
              <w:t>综合评分法</w:t>
            </w:r>
          </w:p>
        </w:tc>
      </w:tr>
      <w:tr w14:paraId="0E84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544C928F">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w:t>
            </w:r>
            <w:r>
              <w:rPr>
                <w:rFonts w:hint="eastAsia" w:asciiTheme="minorEastAsia" w:hAnsiTheme="minorEastAsia" w:eastAsiaTheme="minorEastAsia" w:cstheme="minorEastAsia"/>
                <w:bCs/>
                <w:color w:val="auto"/>
                <w:kern w:val="2"/>
                <w:highlight w:val="none"/>
                <w:lang w:val="en-US" w:eastAsia="zh-CN"/>
              </w:rPr>
              <w:t>1</w:t>
            </w:r>
            <w:r>
              <w:rPr>
                <w:rFonts w:hint="eastAsia" w:asciiTheme="minorEastAsia" w:hAnsiTheme="minorEastAsia" w:eastAsiaTheme="minorEastAsia" w:cstheme="minorEastAsia"/>
                <w:bCs/>
                <w:color w:val="auto"/>
                <w:kern w:val="2"/>
                <w:highlight w:val="none"/>
              </w:rPr>
              <w:t>.1</w:t>
            </w:r>
          </w:p>
        </w:tc>
        <w:tc>
          <w:tcPr>
            <w:tcW w:w="1173" w:type="pct"/>
            <w:vAlign w:val="center"/>
          </w:tcPr>
          <w:p w14:paraId="1CF5A6E3">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评标委员会推荐中标候选人的数量</w:t>
            </w:r>
          </w:p>
        </w:tc>
        <w:tc>
          <w:tcPr>
            <w:tcW w:w="3253" w:type="pct"/>
            <w:vAlign w:val="center"/>
          </w:tcPr>
          <w:p w14:paraId="49DD1EE3">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lang w:val="en-US" w:eastAsia="zh-CN"/>
              </w:rPr>
            </w:pPr>
            <w:r>
              <w:rPr>
                <w:rFonts w:hint="eastAsia" w:asciiTheme="minorEastAsia" w:hAnsiTheme="minorEastAsia" w:eastAsiaTheme="minorEastAsia" w:cstheme="minorEastAsia"/>
                <w:b w:val="0"/>
                <w:color w:val="auto"/>
                <w:sz w:val="24"/>
                <w:highlight w:val="none"/>
                <w:u w:val="single"/>
                <w:lang w:val="en-US" w:eastAsia="zh-CN"/>
              </w:rPr>
              <w:t>推荐中标候选人的数量：3名以上</w:t>
            </w:r>
          </w:p>
          <w:p w14:paraId="771F20EF">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color w:val="auto"/>
                <w:sz w:val="24"/>
                <w:highlight w:val="none"/>
                <w:u w:val="single"/>
                <w:lang w:val="en-US" w:eastAsia="zh-CN"/>
              </w:rPr>
              <w:t>注：法律法规另有规定的，从其规定</w:t>
            </w:r>
          </w:p>
        </w:tc>
      </w:tr>
      <w:tr w14:paraId="3FAB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557A9D32">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w:t>
            </w:r>
            <w:r>
              <w:rPr>
                <w:rFonts w:hint="eastAsia" w:asciiTheme="minorEastAsia" w:hAnsiTheme="minorEastAsia" w:eastAsiaTheme="minorEastAsia" w:cstheme="minorEastAsia"/>
                <w:bCs/>
                <w:color w:val="auto"/>
                <w:kern w:val="2"/>
                <w:highlight w:val="none"/>
                <w:lang w:val="en-US" w:eastAsia="zh-CN"/>
              </w:rPr>
              <w:t>1</w:t>
            </w:r>
            <w:r>
              <w:rPr>
                <w:rFonts w:hint="eastAsia" w:asciiTheme="minorEastAsia" w:hAnsiTheme="minorEastAsia" w:eastAsiaTheme="minorEastAsia" w:cstheme="minorEastAsia"/>
                <w:bCs/>
                <w:color w:val="auto"/>
                <w:kern w:val="2"/>
                <w:highlight w:val="none"/>
              </w:rPr>
              <w:t>.2</w:t>
            </w:r>
          </w:p>
        </w:tc>
        <w:tc>
          <w:tcPr>
            <w:tcW w:w="1173" w:type="pct"/>
            <w:vAlign w:val="center"/>
          </w:tcPr>
          <w:p w14:paraId="14EF7698">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确定中标人</w:t>
            </w:r>
          </w:p>
        </w:tc>
        <w:tc>
          <w:tcPr>
            <w:tcW w:w="3253" w:type="pct"/>
            <w:vAlign w:val="center"/>
          </w:tcPr>
          <w:p w14:paraId="531D8F0A">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sym w:font="Wingdings" w:char="00FE"/>
            </w:r>
            <w:r>
              <w:rPr>
                <w:rFonts w:hint="eastAsia" w:asciiTheme="minorEastAsia" w:hAnsiTheme="minorEastAsia" w:eastAsiaTheme="minorEastAsia" w:cstheme="minorEastAsia"/>
                <w:color w:val="auto"/>
                <w:kern w:val="0"/>
                <w:sz w:val="24"/>
                <w:szCs w:val="24"/>
                <w:highlight w:val="none"/>
              </w:rPr>
              <w:t>采购人委托评标委员会确定</w:t>
            </w:r>
          </w:p>
          <w:p w14:paraId="5758DC59">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bCs w:val="0"/>
                <w:color w:val="auto"/>
                <w:kern w:val="2"/>
                <w:sz w:val="24"/>
                <w:szCs w:val="24"/>
                <w:highlight w:val="none"/>
                <w:lang w:eastAsia="zh-CN"/>
              </w:rPr>
              <w:t>□</w:t>
            </w:r>
            <w:r>
              <w:rPr>
                <w:rFonts w:hint="eastAsia" w:asciiTheme="minorEastAsia" w:hAnsiTheme="minorEastAsia" w:eastAsiaTheme="minorEastAsia" w:cstheme="minorEastAsia"/>
                <w:b w:val="0"/>
                <w:bCs w:val="0"/>
                <w:color w:val="auto"/>
                <w:kern w:val="2"/>
                <w:sz w:val="24"/>
                <w:szCs w:val="24"/>
                <w:highlight w:val="none"/>
              </w:rPr>
              <w:t>采购人确定</w:t>
            </w:r>
          </w:p>
        </w:tc>
      </w:tr>
      <w:tr w14:paraId="227A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710C3188">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w:t>
            </w:r>
            <w:r>
              <w:rPr>
                <w:rFonts w:hint="eastAsia" w:asciiTheme="minorEastAsia" w:hAnsiTheme="minorEastAsia" w:eastAsiaTheme="minorEastAsia" w:cstheme="minorEastAsia"/>
                <w:bCs/>
                <w:color w:val="auto"/>
                <w:kern w:val="2"/>
                <w:highlight w:val="none"/>
                <w:lang w:val="en-US" w:eastAsia="zh-CN"/>
              </w:rPr>
              <w:t>3</w:t>
            </w:r>
            <w:r>
              <w:rPr>
                <w:rFonts w:hint="eastAsia" w:asciiTheme="minorEastAsia" w:hAnsiTheme="minorEastAsia" w:eastAsiaTheme="minorEastAsia" w:cstheme="minorEastAsia"/>
                <w:bCs/>
                <w:color w:val="auto"/>
                <w:kern w:val="2"/>
                <w:highlight w:val="none"/>
              </w:rPr>
              <w:t>.3</w:t>
            </w:r>
          </w:p>
        </w:tc>
        <w:tc>
          <w:tcPr>
            <w:tcW w:w="1173" w:type="pct"/>
            <w:vAlign w:val="center"/>
          </w:tcPr>
          <w:p w14:paraId="3B3A53D0">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随中标结果公告同时</w:t>
            </w:r>
            <w:r>
              <w:rPr>
                <w:rFonts w:hint="eastAsia" w:asciiTheme="minorEastAsia" w:hAnsiTheme="minorEastAsia" w:eastAsiaTheme="minorEastAsia" w:cstheme="minorEastAsia"/>
                <w:b w:val="0"/>
                <w:color w:val="auto"/>
                <w:sz w:val="24"/>
                <w:highlight w:val="none"/>
                <w:lang w:val="en-US" w:eastAsia="zh-CN"/>
              </w:rPr>
              <w:t>公告</w:t>
            </w:r>
            <w:r>
              <w:rPr>
                <w:rFonts w:hint="eastAsia" w:asciiTheme="minorEastAsia" w:hAnsiTheme="minorEastAsia" w:eastAsiaTheme="minorEastAsia" w:cstheme="minorEastAsia"/>
                <w:b w:val="0"/>
                <w:color w:val="auto"/>
                <w:sz w:val="24"/>
                <w:highlight w:val="none"/>
              </w:rPr>
              <w:t>的内容</w:t>
            </w:r>
          </w:p>
        </w:tc>
        <w:tc>
          <w:tcPr>
            <w:tcW w:w="3253" w:type="pct"/>
            <w:vAlign w:val="center"/>
          </w:tcPr>
          <w:p w14:paraId="06015CCC">
            <w:pPr>
              <w:pStyle w:val="20"/>
              <w:widowControl w:val="0"/>
              <w:numPr>
                <w:ilvl w:val="0"/>
                <w:numId w:val="0"/>
              </w:numPr>
              <w:spacing w:before="0" w:beforeAutospacing="0" w:after="0" w:afterAutospacing="0" w:line="360" w:lineRule="auto"/>
              <w:jc w:val="both"/>
              <w:rPr>
                <w:rFonts w:hint="eastAsia" w:ascii="宋体" w:hAnsi="宋体" w:eastAsia="宋体" w:cs="宋体"/>
                <w:b w:val="0"/>
                <w:sz w:val="24"/>
                <w:highlight w:val="none"/>
              </w:rPr>
            </w:pPr>
            <w:r>
              <w:rPr>
                <w:rFonts w:hint="eastAsia" w:ascii="宋体" w:hAnsi="宋体" w:eastAsia="宋体" w:cs="宋体"/>
                <w:b w:val="0"/>
                <w:bCs/>
                <w:kern w:val="0"/>
                <w:sz w:val="24"/>
                <w:szCs w:val="28"/>
                <w:lang w:val="en-US" w:eastAsia="zh-CN" w:bidi="ar-SA"/>
              </w:rPr>
              <w:t>（1）</w:t>
            </w:r>
            <w:r>
              <w:rPr>
                <w:rFonts w:hint="eastAsia" w:ascii="宋体" w:hAnsi="宋体" w:eastAsia="宋体" w:cs="宋体"/>
                <w:b w:val="0"/>
                <w:sz w:val="24"/>
                <w:highlight w:val="none"/>
                <w:lang w:val="en-US" w:eastAsia="zh-CN"/>
              </w:rPr>
              <w:t>所有</w:t>
            </w:r>
            <w:r>
              <w:rPr>
                <w:rFonts w:hint="eastAsia" w:ascii="宋体" w:hAnsi="宋体" w:eastAsia="宋体" w:cs="宋体"/>
                <w:b w:val="0"/>
                <w:sz w:val="24"/>
                <w:highlight w:val="none"/>
              </w:rPr>
              <w:t>投标人的</w:t>
            </w:r>
            <w:r>
              <w:rPr>
                <w:rFonts w:hint="eastAsia" w:ascii="宋体" w:hAnsi="宋体" w:eastAsia="宋体" w:cs="宋体"/>
                <w:b w:val="0"/>
                <w:sz w:val="24"/>
                <w:highlight w:val="none"/>
                <w:lang w:val="en-US" w:eastAsia="zh-CN"/>
              </w:rPr>
              <w:t>报价及</w:t>
            </w:r>
            <w:r>
              <w:rPr>
                <w:rFonts w:hint="eastAsia" w:ascii="宋体" w:hAnsi="宋体" w:eastAsia="宋体" w:cs="宋体"/>
                <w:b w:val="0"/>
                <w:sz w:val="24"/>
                <w:highlight w:val="none"/>
              </w:rPr>
              <w:t>评审总得分</w:t>
            </w:r>
          </w:p>
          <w:p w14:paraId="7679D0C7">
            <w:pPr>
              <w:pStyle w:val="20"/>
              <w:widowControl w:val="0"/>
              <w:numPr>
                <w:ilvl w:val="0"/>
                <w:numId w:val="0"/>
              </w:numPr>
              <w:spacing w:before="0" w:beforeAutospacing="0" w:after="0" w:afterAutospacing="0" w:line="360" w:lineRule="auto"/>
              <w:jc w:val="both"/>
              <w:rPr>
                <w:rFonts w:hint="eastAsia" w:ascii="宋体" w:hAnsi="宋体" w:eastAsia="宋体" w:cs="宋体"/>
                <w:b w:val="0"/>
                <w:sz w:val="24"/>
                <w:highlight w:val="none"/>
              </w:rPr>
            </w:pPr>
            <w:r>
              <w:rPr>
                <w:rFonts w:hint="eastAsia" w:ascii="宋体" w:hAnsi="宋体" w:eastAsia="宋体" w:cs="宋体"/>
                <w:b w:val="0"/>
                <w:bCs/>
                <w:kern w:val="0"/>
                <w:sz w:val="24"/>
                <w:szCs w:val="28"/>
                <w:highlight w:val="none"/>
                <w:lang w:val="en-US" w:eastAsia="zh-CN" w:bidi="ar-SA"/>
              </w:rPr>
              <w:t>（2）</w:t>
            </w:r>
            <w:r>
              <w:rPr>
                <w:rFonts w:hint="eastAsia" w:ascii="宋体" w:hAnsi="宋体" w:eastAsia="宋体" w:cs="宋体"/>
                <w:b/>
                <w:bCs w:val="0"/>
                <w:sz w:val="24"/>
                <w:highlight w:val="none"/>
                <w:lang w:val="en-US" w:eastAsia="zh-CN"/>
              </w:rPr>
              <w:t>中标人</w:t>
            </w:r>
            <w:r>
              <w:rPr>
                <w:rFonts w:hint="eastAsia" w:ascii="宋体" w:hAnsi="宋体" w:eastAsia="宋体" w:cs="宋体"/>
                <w:b w:val="0"/>
                <w:sz w:val="24"/>
                <w:highlight w:val="none"/>
                <w:lang w:val="en-US" w:eastAsia="zh-CN"/>
              </w:rPr>
              <w:t>业绩、人员配备情况、增值服务、公共收益分成比例及所承诺的内容</w:t>
            </w:r>
            <w:r>
              <w:rPr>
                <w:rFonts w:hint="eastAsia" w:ascii="宋体" w:hAnsi="宋体" w:eastAsia="宋体" w:cs="宋体"/>
                <w:b w:val="0"/>
                <w:sz w:val="24"/>
                <w:highlight w:val="none"/>
              </w:rPr>
              <w:t>；</w:t>
            </w:r>
          </w:p>
          <w:p w14:paraId="48C75B88">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宋体" w:hAnsi="宋体" w:eastAsia="宋体" w:cs="宋体"/>
                <w:b w:val="0"/>
                <w:sz w:val="24"/>
                <w:highlight w:val="none"/>
              </w:rPr>
              <w:t>（</w:t>
            </w:r>
            <w:r>
              <w:rPr>
                <w:rFonts w:hint="eastAsia" w:ascii="宋体" w:hAnsi="宋体" w:eastAsia="宋体" w:cs="宋体"/>
                <w:b w:val="0"/>
                <w:sz w:val="24"/>
                <w:highlight w:val="none"/>
                <w:lang w:val="en-US" w:eastAsia="zh-CN"/>
              </w:rPr>
              <w:t>3</w:t>
            </w:r>
            <w:r>
              <w:rPr>
                <w:rFonts w:hint="eastAsia" w:ascii="宋体" w:hAnsi="宋体" w:eastAsia="宋体" w:cs="宋体"/>
                <w:b w:val="0"/>
                <w:sz w:val="24"/>
                <w:highlight w:val="none"/>
              </w:rPr>
              <w:t>）无效投标人名称及原因（如有）</w:t>
            </w:r>
            <w:r>
              <w:rPr>
                <w:rFonts w:hint="eastAsia" w:ascii="宋体" w:hAnsi="宋体" w:eastAsia="宋体" w:cs="宋体"/>
                <w:b w:val="0"/>
                <w:sz w:val="24"/>
                <w:highlight w:val="none"/>
                <w:lang w:val="en-US" w:eastAsia="zh-CN"/>
              </w:rPr>
              <w:t>。</w:t>
            </w:r>
          </w:p>
        </w:tc>
      </w:tr>
      <w:tr w14:paraId="2E0E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409ED6D2">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w:t>
            </w:r>
            <w:r>
              <w:rPr>
                <w:rFonts w:hint="eastAsia" w:asciiTheme="minorEastAsia" w:hAnsiTheme="minorEastAsia" w:eastAsiaTheme="minorEastAsia" w:cstheme="minorEastAsia"/>
                <w:bCs/>
                <w:color w:val="auto"/>
                <w:kern w:val="2"/>
                <w:highlight w:val="none"/>
                <w:lang w:val="en-US" w:eastAsia="zh-CN"/>
              </w:rPr>
              <w:t>4</w:t>
            </w:r>
            <w:r>
              <w:rPr>
                <w:rFonts w:hint="eastAsia" w:asciiTheme="minorEastAsia" w:hAnsiTheme="minorEastAsia" w:eastAsiaTheme="minorEastAsia" w:cstheme="minorEastAsia"/>
                <w:bCs/>
                <w:color w:val="auto"/>
                <w:kern w:val="2"/>
                <w:highlight w:val="none"/>
              </w:rPr>
              <w:t>.1</w:t>
            </w:r>
          </w:p>
        </w:tc>
        <w:tc>
          <w:tcPr>
            <w:tcW w:w="1173" w:type="pct"/>
            <w:vAlign w:val="center"/>
          </w:tcPr>
          <w:p w14:paraId="577B9F7F">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中标通知书发出的形式</w:t>
            </w:r>
          </w:p>
        </w:tc>
        <w:tc>
          <w:tcPr>
            <w:tcW w:w="6039" w:type="dxa"/>
            <w:vAlign w:val="center"/>
          </w:tcPr>
          <w:p w14:paraId="4675B773">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rPr>
              <w:t>中标通知书发出的形式：</w:t>
            </w:r>
            <w:r>
              <w:rPr>
                <w:rFonts w:hint="eastAsia" w:asciiTheme="minorEastAsia" w:hAnsiTheme="minorEastAsia" w:eastAsiaTheme="minorEastAsia" w:cstheme="minorEastAsia"/>
                <w:b w:val="0"/>
                <w:bCs w:val="0"/>
                <w:color w:val="auto"/>
                <w:sz w:val="24"/>
                <w:szCs w:val="24"/>
                <w:highlight w:val="none"/>
              </w:rPr>
              <w:sym w:font="Wingdings 2" w:char="0052"/>
            </w:r>
            <w:r>
              <w:rPr>
                <w:rFonts w:hint="eastAsia" w:asciiTheme="minorEastAsia" w:hAnsiTheme="minorEastAsia" w:eastAsiaTheme="minorEastAsia" w:cstheme="minorEastAsia"/>
                <w:b w:val="0"/>
                <w:bCs w:val="0"/>
                <w:color w:val="auto"/>
                <w:sz w:val="24"/>
                <w:szCs w:val="24"/>
                <w:highlight w:val="none"/>
              </w:rPr>
              <w:t xml:space="preserve">数据电文  </w:t>
            </w:r>
            <w:r>
              <w:rPr>
                <w:rFonts w:hint="eastAsia" w:asciiTheme="minorEastAsia" w:hAnsiTheme="minorEastAsia" w:eastAsiaTheme="minorEastAsia" w:cstheme="minorEastAsia"/>
                <w:b w:val="0"/>
                <w:bCs w:val="0"/>
                <w:color w:val="auto"/>
                <w:sz w:val="24"/>
                <w:szCs w:val="24"/>
                <w:highlight w:val="none"/>
              </w:rPr>
              <w:sym w:font="Wingdings 2" w:char="0052"/>
            </w:r>
            <w:r>
              <w:rPr>
                <w:rFonts w:hint="eastAsia" w:asciiTheme="minorEastAsia" w:hAnsiTheme="minorEastAsia" w:eastAsiaTheme="minorEastAsia" w:cstheme="minorEastAsia"/>
                <w:b w:val="0"/>
                <w:bCs w:val="0"/>
                <w:color w:val="auto"/>
                <w:sz w:val="24"/>
                <w:szCs w:val="24"/>
                <w:highlight w:val="none"/>
              </w:rPr>
              <w:t>纸质</w:t>
            </w:r>
          </w:p>
        </w:tc>
      </w:tr>
      <w:tr w14:paraId="5809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7432DCDB">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lang w:val="en-US" w:eastAsia="zh-CN"/>
              </w:rPr>
              <w:t>25</w:t>
            </w:r>
            <w:r>
              <w:rPr>
                <w:rFonts w:hint="eastAsia" w:asciiTheme="minorEastAsia" w:hAnsiTheme="minorEastAsia" w:eastAsiaTheme="minorEastAsia" w:cstheme="minorEastAsia"/>
                <w:bCs/>
                <w:color w:val="auto"/>
                <w:kern w:val="2"/>
                <w:highlight w:val="none"/>
              </w:rPr>
              <w:t>.1</w:t>
            </w:r>
          </w:p>
        </w:tc>
        <w:tc>
          <w:tcPr>
            <w:tcW w:w="1173" w:type="pct"/>
            <w:vAlign w:val="center"/>
          </w:tcPr>
          <w:p w14:paraId="6A00AE45">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告知招标结果的形式</w:t>
            </w:r>
          </w:p>
        </w:tc>
        <w:tc>
          <w:tcPr>
            <w:tcW w:w="6039" w:type="dxa"/>
            <w:vAlign w:val="center"/>
          </w:tcPr>
          <w:p w14:paraId="756210EF">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val="0"/>
                <w:color w:val="auto"/>
                <w:kern w:val="2"/>
                <w:sz w:val="24"/>
                <w:szCs w:val="24"/>
                <w:highlight w:val="none"/>
                <w:lang w:val="en-US" w:eastAsia="zh-CN"/>
              </w:rPr>
            </w:pPr>
            <w:r>
              <w:rPr>
                <w:rFonts w:hint="eastAsia" w:ascii="宋体" w:hAnsi="宋体" w:eastAsia="宋体" w:cs="宋体"/>
                <w:b w:val="0"/>
                <w:color w:val="auto"/>
                <w:sz w:val="24"/>
                <w:highlight w:val="none"/>
              </w:rPr>
              <w:t>中标结果通知发出的形式：</w:t>
            </w:r>
            <w:r>
              <w:rPr>
                <w:rFonts w:hint="eastAsia" w:asciiTheme="minorEastAsia" w:hAnsiTheme="minorEastAsia" w:eastAsiaTheme="minorEastAsia" w:cstheme="minorEastAsia"/>
                <w:b w:val="0"/>
                <w:bCs w:val="0"/>
                <w:color w:val="auto"/>
                <w:sz w:val="24"/>
                <w:szCs w:val="24"/>
                <w:highlight w:val="none"/>
              </w:rPr>
              <w:sym w:font="Wingdings 2" w:char="0052"/>
            </w:r>
            <w:r>
              <w:rPr>
                <w:rFonts w:hint="eastAsia" w:ascii="宋体" w:hAnsi="宋体" w:eastAsia="宋体" w:cs="宋体"/>
                <w:b w:val="0"/>
                <w:color w:val="auto"/>
                <w:sz w:val="24"/>
                <w:highlight w:val="none"/>
              </w:rPr>
              <w:t xml:space="preserve">数据电文  </w:t>
            </w:r>
            <w:r>
              <w:rPr>
                <w:rFonts w:hint="eastAsia" w:asciiTheme="minorEastAsia" w:hAnsiTheme="minorEastAsia" w:eastAsiaTheme="minorEastAsia" w:cstheme="minorEastAsia"/>
                <w:b w:val="0"/>
                <w:bCs w:val="0"/>
                <w:color w:val="auto"/>
                <w:sz w:val="24"/>
                <w:szCs w:val="24"/>
                <w:highlight w:val="none"/>
              </w:rPr>
              <w:sym w:font="Wingdings 2" w:char="00A3"/>
            </w:r>
            <w:r>
              <w:rPr>
                <w:rFonts w:hint="eastAsia" w:ascii="宋体" w:hAnsi="宋体" w:eastAsia="宋体" w:cs="宋体"/>
                <w:b w:val="0"/>
                <w:color w:val="auto"/>
                <w:sz w:val="24"/>
                <w:highlight w:val="none"/>
              </w:rPr>
              <w:t>纸质</w:t>
            </w:r>
          </w:p>
        </w:tc>
      </w:tr>
      <w:tr w14:paraId="6182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7" w:hRule="atLeast"/>
          <w:jc w:val="center"/>
        </w:trPr>
        <w:tc>
          <w:tcPr>
            <w:tcW w:w="573" w:type="pct"/>
            <w:vAlign w:val="center"/>
          </w:tcPr>
          <w:p w14:paraId="3746BB2B">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lang w:val="en-US" w:eastAsia="zh-CN"/>
              </w:rPr>
              <w:t>26</w:t>
            </w:r>
            <w:r>
              <w:rPr>
                <w:rFonts w:hint="eastAsia" w:asciiTheme="minorEastAsia" w:hAnsiTheme="minorEastAsia" w:eastAsiaTheme="minorEastAsia" w:cstheme="minorEastAsia"/>
                <w:bCs/>
                <w:color w:val="auto"/>
                <w:kern w:val="2"/>
                <w:highlight w:val="none"/>
              </w:rPr>
              <w:t>.1</w:t>
            </w:r>
          </w:p>
        </w:tc>
        <w:tc>
          <w:tcPr>
            <w:tcW w:w="1173" w:type="pct"/>
            <w:vAlign w:val="center"/>
          </w:tcPr>
          <w:p w14:paraId="03988DAE">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履约保证金</w:t>
            </w:r>
          </w:p>
        </w:tc>
        <w:tc>
          <w:tcPr>
            <w:tcW w:w="3253" w:type="pct"/>
          </w:tcPr>
          <w:p w14:paraId="54753541">
            <w:pPr>
              <w:pStyle w:val="20"/>
              <w:widowControl w:val="0"/>
              <w:spacing w:before="0" w:beforeAutospacing="0" w:after="0" w:afterAutospacing="0" w:line="360" w:lineRule="auto"/>
              <w:jc w:val="both"/>
              <w:rPr>
                <w:rFonts w:ascii="宋体" w:hAnsi="宋体" w:eastAsia="宋体" w:cs="宋体"/>
                <w:b w:val="0"/>
                <w:bCs w:val="0"/>
                <w:sz w:val="24"/>
              </w:rPr>
            </w:pPr>
            <w:r>
              <w:rPr>
                <w:rFonts w:hint="eastAsia" w:ascii="宋体" w:hAnsi="宋体" w:eastAsia="宋体" w:cs="宋体"/>
                <w:b w:val="0"/>
                <w:bCs w:val="0"/>
                <w:sz w:val="24"/>
              </w:rPr>
              <w:t>（1）金额：</w:t>
            </w:r>
          </w:p>
          <w:p w14:paraId="280FF726">
            <w:pPr>
              <w:pStyle w:val="20"/>
              <w:widowControl w:val="0"/>
              <w:spacing w:before="0" w:beforeAutospacing="0" w:after="0" w:afterAutospacing="0" w:line="360" w:lineRule="auto"/>
              <w:jc w:val="both"/>
              <w:rPr>
                <w:rFonts w:ascii="宋体" w:hAnsi="宋体" w:eastAsia="宋体" w:cs="宋体"/>
                <w:b w:val="0"/>
                <w:bCs w:val="0"/>
                <w:sz w:val="24"/>
              </w:rPr>
            </w:pPr>
            <w:r>
              <w:rPr>
                <w:rFonts w:hint="eastAsia" w:ascii="宋体" w:hAnsi="宋体" w:eastAsia="宋体" w:cs="宋体"/>
                <w:b w:val="0"/>
                <w:bCs w:val="0"/>
                <w:sz w:val="24"/>
                <w:lang w:eastAsia="zh-CN"/>
              </w:rPr>
              <w:t>□</w:t>
            </w:r>
            <w:r>
              <w:rPr>
                <w:rFonts w:hint="eastAsia" w:ascii="宋体" w:hAnsi="宋体" w:eastAsia="宋体" w:cs="宋体"/>
                <w:b w:val="0"/>
                <w:bCs w:val="0"/>
                <w:sz w:val="24"/>
              </w:rPr>
              <w:t>免收</w:t>
            </w:r>
          </w:p>
          <w:p w14:paraId="0E5E22B4">
            <w:pPr>
              <w:pStyle w:val="20"/>
              <w:widowControl w:val="0"/>
              <w:spacing w:before="0" w:beforeAutospacing="0" w:after="0" w:afterAutospacing="0" w:line="360" w:lineRule="auto"/>
              <w:jc w:val="both"/>
              <w:rPr>
                <w:rFonts w:ascii="宋体" w:hAnsi="宋体" w:eastAsia="宋体" w:cs="宋体"/>
                <w:b w:val="0"/>
                <w:bCs w:val="0"/>
                <w:sz w:val="24"/>
              </w:rPr>
            </w:pPr>
            <w:r>
              <w:rPr>
                <w:rFonts w:hint="eastAsia" w:ascii="宋体" w:hAnsi="宋体" w:eastAsia="宋体" w:cs="宋体"/>
                <w:b w:val="0"/>
                <w:bCs w:val="0"/>
                <w:sz w:val="24"/>
              </w:rPr>
              <w:t>□合同价的</w:t>
            </w:r>
            <w:r>
              <w:rPr>
                <w:rFonts w:hint="eastAsia" w:ascii="宋体" w:hAnsi="宋体" w:eastAsia="宋体" w:cs="宋体"/>
                <w:b w:val="0"/>
                <w:bCs w:val="0"/>
                <w:i/>
                <w:iCs/>
                <w:sz w:val="24"/>
                <w:szCs w:val="24"/>
                <w:u w:val="single"/>
                <w:lang w:val="en-US" w:eastAsia="zh-CN"/>
              </w:rPr>
              <w:t xml:space="preserve">       </w:t>
            </w:r>
            <w:r>
              <w:rPr>
                <w:rFonts w:hint="eastAsia" w:ascii="宋体" w:hAnsi="宋体" w:eastAsia="宋体" w:cs="宋体"/>
                <w:b w:val="0"/>
                <w:bCs w:val="0"/>
                <w:sz w:val="24"/>
              </w:rPr>
              <w:t>%</w:t>
            </w:r>
          </w:p>
          <w:p w14:paraId="43904108">
            <w:pPr>
              <w:pStyle w:val="20"/>
              <w:widowControl w:val="0"/>
              <w:spacing w:before="0" w:beforeAutospacing="0" w:after="0" w:afterAutospacing="0" w:line="360" w:lineRule="auto"/>
              <w:jc w:val="both"/>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eastAsia="zh-CN"/>
              </w:rPr>
              <w:t>☑</w:t>
            </w:r>
            <w:r>
              <w:rPr>
                <w:rFonts w:hint="eastAsia" w:ascii="宋体" w:hAnsi="宋体" w:eastAsia="宋体" w:cs="宋体"/>
                <w:b w:val="0"/>
                <w:bCs w:val="0"/>
                <w:sz w:val="24"/>
                <w:highlight w:val="none"/>
              </w:rPr>
              <w:t>定额收取：人民币</w:t>
            </w:r>
            <w:r>
              <w:rPr>
                <w:rFonts w:hint="eastAsia" w:ascii="宋体" w:hAnsi="宋体" w:eastAsia="宋体" w:cs="宋体"/>
                <w:b w:val="0"/>
                <w:bCs w:val="0"/>
                <w:sz w:val="24"/>
                <w:highlight w:val="none"/>
                <w:lang w:val="en-US" w:eastAsia="zh-CN"/>
              </w:rPr>
              <w:t>200000.00元整（大写：贰拾万元整）</w:t>
            </w:r>
          </w:p>
          <w:p w14:paraId="47A4F7AF">
            <w:pPr>
              <w:pStyle w:val="20"/>
              <w:widowControl w:val="0"/>
              <w:spacing w:before="0" w:beforeAutospacing="0" w:after="0" w:afterAutospacing="0" w:line="360" w:lineRule="auto"/>
              <w:jc w:val="both"/>
              <w:rPr>
                <w:rFonts w:ascii="宋体" w:hAnsi="宋体" w:eastAsia="宋体" w:cs="宋体"/>
                <w:b w:val="0"/>
                <w:bCs w:val="0"/>
                <w:sz w:val="24"/>
                <w:highlight w:val="none"/>
              </w:rPr>
            </w:pPr>
            <w:r>
              <w:rPr>
                <w:rFonts w:hint="eastAsia" w:ascii="宋体" w:hAnsi="宋体" w:eastAsia="宋体" w:cs="宋体"/>
                <w:b w:val="0"/>
                <w:bCs w:val="0"/>
                <w:sz w:val="24"/>
                <w:highlight w:val="none"/>
              </w:rPr>
              <w:t>（2）支付方式：</w:t>
            </w:r>
          </w:p>
          <w:p w14:paraId="0C8FD8CE">
            <w:pPr>
              <w:pStyle w:val="20"/>
              <w:widowControl w:val="0"/>
              <w:spacing w:before="0" w:beforeAutospacing="0" w:after="0" w:afterAutospacing="0" w:line="360" w:lineRule="auto"/>
              <w:jc w:val="both"/>
              <w:rPr>
                <w:rFonts w:ascii="宋体" w:hAnsi="宋体" w:eastAsia="宋体" w:cs="宋体"/>
                <w:b w:val="0"/>
                <w:bCs w:val="0"/>
                <w:sz w:val="24"/>
                <w:highlight w:val="none"/>
              </w:rPr>
            </w:pPr>
            <w:r>
              <w:rPr>
                <w:rFonts w:hint="eastAsia" w:ascii="宋体" w:hAnsi="宋体" w:eastAsia="宋体" w:cs="宋体"/>
                <w:b w:val="0"/>
                <w:bCs w:val="0"/>
                <w:sz w:val="24"/>
                <w:highlight w:val="none"/>
                <w:lang w:eastAsia="zh-CN"/>
              </w:rPr>
              <w:t>☑</w:t>
            </w:r>
            <w:r>
              <w:rPr>
                <w:rFonts w:hint="eastAsia" w:ascii="宋体" w:hAnsi="宋体" w:eastAsia="宋体" w:cs="宋体"/>
                <w:b w:val="0"/>
                <w:bCs w:val="0"/>
                <w:sz w:val="24"/>
                <w:highlight w:val="none"/>
              </w:rPr>
              <w:t>转账/电汇 □支票 □汇票 □本票 □保函 □保险</w:t>
            </w:r>
          </w:p>
          <w:p w14:paraId="27FB7D1A">
            <w:pPr>
              <w:pStyle w:val="20"/>
              <w:widowControl w:val="0"/>
              <w:spacing w:before="0" w:beforeAutospacing="0" w:after="0" w:afterAutospacing="0" w:line="360" w:lineRule="auto"/>
              <w:jc w:val="both"/>
              <w:rPr>
                <w:rFonts w:ascii="宋体" w:hAnsi="宋体" w:eastAsia="宋体" w:cs="宋体"/>
                <w:b w:val="0"/>
                <w:bCs w:val="0"/>
                <w:sz w:val="24"/>
                <w:highlight w:val="none"/>
                <w:u w:val="single"/>
              </w:rPr>
            </w:pPr>
            <w:r>
              <w:rPr>
                <w:rFonts w:hint="eastAsia" w:ascii="宋体" w:hAnsi="宋体" w:eastAsia="宋体" w:cs="宋体"/>
                <w:b w:val="0"/>
                <w:bCs w:val="0"/>
                <w:sz w:val="24"/>
                <w:highlight w:val="none"/>
              </w:rPr>
              <w:t>其他要求：</w:t>
            </w:r>
            <w:r>
              <w:rPr>
                <w:rFonts w:hint="eastAsia" w:ascii="宋体" w:hAnsi="宋体" w:eastAsia="宋体" w:cs="宋体"/>
                <w:b w:val="0"/>
                <w:bCs w:val="0"/>
                <w:sz w:val="24"/>
                <w:highlight w:val="none"/>
                <w:u w:val="single"/>
              </w:rPr>
              <w:t xml:space="preserve">             </w:t>
            </w:r>
          </w:p>
          <w:p w14:paraId="551AAD7D">
            <w:pPr>
              <w:pStyle w:val="20"/>
              <w:widowControl w:val="0"/>
              <w:spacing w:before="0" w:beforeAutospacing="0" w:after="0" w:afterAutospacing="0" w:line="360" w:lineRule="auto"/>
              <w:jc w:val="both"/>
              <w:rPr>
                <w:rFonts w:hint="eastAsia" w:ascii="宋体" w:hAnsi="宋体" w:eastAsia="宋体" w:cs="宋体"/>
                <w:b w:val="0"/>
                <w:bCs w:val="0"/>
                <w:sz w:val="24"/>
                <w:highlight w:val="none"/>
                <w:lang w:eastAsia="zh-CN"/>
              </w:rPr>
            </w:pPr>
            <w:r>
              <w:rPr>
                <w:rFonts w:hint="eastAsia" w:ascii="宋体" w:hAnsi="宋体" w:eastAsia="宋体" w:cs="宋体"/>
                <w:b w:val="0"/>
                <w:bCs w:val="0"/>
                <w:sz w:val="24"/>
                <w:highlight w:val="none"/>
              </w:rPr>
              <w:t>（3）收取单位：</w:t>
            </w:r>
            <w:r>
              <w:rPr>
                <w:rFonts w:hint="eastAsia" w:ascii="宋体" w:hAnsi="宋体" w:eastAsia="宋体" w:cs="宋体"/>
                <w:b w:val="0"/>
                <w:bCs w:val="0"/>
                <w:sz w:val="24"/>
                <w:highlight w:val="none"/>
                <w:u w:val="single"/>
                <w:lang w:eastAsia="zh-CN"/>
              </w:rPr>
              <w:t>港利上城国际小区第二届业主委员会</w:t>
            </w:r>
          </w:p>
          <w:p w14:paraId="1DFED015">
            <w:pPr>
              <w:pStyle w:val="20"/>
              <w:widowControl w:val="0"/>
              <w:spacing w:before="0" w:beforeAutospacing="0" w:after="0" w:afterAutospacing="0" w:line="360" w:lineRule="auto"/>
              <w:jc w:val="both"/>
              <w:rPr>
                <w:rFonts w:hint="eastAsia" w:ascii="宋体" w:hAnsi="宋体" w:eastAsia="宋体" w:cs="宋体"/>
                <w:b w:val="0"/>
                <w:bCs w:val="0"/>
                <w:sz w:val="24"/>
                <w:highlight w:val="none"/>
                <w:lang w:eastAsia="zh-CN"/>
              </w:rPr>
            </w:pPr>
            <w:r>
              <w:rPr>
                <w:rFonts w:hint="eastAsia" w:ascii="宋体" w:hAnsi="宋体" w:eastAsia="宋体" w:cs="宋体"/>
                <w:b w:val="0"/>
                <w:bCs w:val="0"/>
                <w:sz w:val="24"/>
                <w:highlight w:val="none"/>
              </w:rPr>
              <w:t>（4）缴纳时间：</w:t>
            </w:r>
            <w:r>
              <w:rPr>
                <w:rFonts w:hint="eastAsia" w:ascii="宋体" w:hAnsi="宋体" w:eastAsia="宋体" w:cs="宋体"/>
                <w:b w:val="0"/>
                <w:bCs w:val="0"/>
                <w:sz w:val="24"/>
                <w:highlight w:val="none"/>
                <w:u w:val="single"/>
              </w:rPr>
              <w:t>签订合同</w:t>
            </w:r>
            <w:r>
              <w:rPr>
                <w:rFonts w:hint="eastAsia" w:ascii="宋体" w:hAnsi="宋体" w:eastAsia="宋体" w:cs="宋体"/>
                <w:b w:val="0"/>
                <w:bCs w:val="0"/>
                <w:sz w:val="24"/>
                <w:highlight w:val="none"/>
                <w:u w:val="single"/>
                <w:lang w:val="en-US" w:eastAsia="zh-CN"/>
              </w:rPr>
              <w:t>前</w:t>
            </w:r>
            <w:r>
              <w:rPr>
                <w:rFonts w:hint="eastAsia" w:ascii="宋体" w:hAnsi="宋体" w:eastAsia="宋体" w:cs="宋体"/>
                <w:b w:val="0"/>
                <w:bCs w:val="0"/>
                <w:sz w:val="24"/>
                <w:highlight w:val="none"/>
                <w:u w:val="single"/>
              </w:rPr>
              <w:t>缴纳。</w:t>
            </w:r>
          </w:p>
          <w:p w14:paraId="5AC12F28">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bCs/>
                <w:color w:val="auto"/>
                <w:kern w:val="0"/>
                <w:sz w:val="24"/>
                <w:szCs w:val="24"/>
                <w:highlight w:val="none"/>
              </w:rPr>
            </w:pPr>
            <w:r>
              <w:rPr>
                <w:rFonts w:hint="eastAsia" w:ascii="宋体" w:hAnsi="宋体" w:eastAsia="宋体" w:cs="宋体"/>
                <w:b w:val="0"/>
                <w:bCs w:val="0"/>
                <w:sz w:val="24"/>
                <w:highlight w:val="none"/>
              </w:rPr>
              <w:t>（5）退还时间：</w:t>
            </w:r>
            <w:r>
              <w:rPr>
                <w:rFonts w:hint="eastAsia" w:ascii="宋体" w:hAnsi="宋体" w:eastAsia="宋体" w:cs="宋体"/>
                <w:b w:val="0"/>
                <w:bCs w:val="0"/>
                <w:sz w:val="24"/>
                <w:highlight w:val="none"/>
                <w:u w:val="single"/>
              </w:rPr>
              <w:t>服务期满</w:t>
            </w:r>
            <w:r>
              <w:rPr>
                <w:rFonts w:hint="eastAsia" w:ascii="宋体" w:hAnsi="宋体" w:eastAsia="宋体" w:cs="宋体"/>
                <w:b w:val="0"/>
                <w:bCs w:val="0"/>
                <w:sz w:val="24"/>
                <w:highlight w:val="none"/>
                <w:u w:val="single"/>
                <w:lang w:val="en-US" w:eastAsia="zh-CN"/>
              </w:rPr>
              <w:t>或合同终止</w:t>
            </w:r>
            <w:r>
              <w:rPr>
                <w:rFonts w:hint="eastAsia" w:ascii="宋体" w:hAnsi="宋体" w:eastAsia="宋体" w:cs="宋体"/>
                <w:b w:val="0"/>
                <w:bCs w:val="0"/>
                <w:sz w:val="24"/>
                <w:highlight w:val="none"/>
                <w:u w:val="single"/>
              </w:rPr>
              <w:t>，</w:t>
            </w:r>
            <w:r>
              <w:rPr>
                <w:rFonts w:hint="eastAsia" w:ascii="宋体" w:hAnsi="宋体" w:eastAsia="宋体" w:cs="宋体"/>
                <w:b w:val="0"/>
                <w:bCs w:val="0"/>
                <w:sz w:val="24"/>
                <w:highlight w:val="none"/>
                <w:u w:val="single"/>
                <w:lang w:val="en-US" w:eastAsia="zh-CN"/>
              </w:rPr>
              <w:t>成交人</w:t>
            </w:r>
            <w:r>
              <w:rPr>
                <w:rFonts w:hint="eastAsia" w:ascii="宋体" w:hAnsi="宋体" w:eastAsia="宋体" w:cs="宋体"/>
                <w:b w:val="0"/>
                <w:bCs w:val="0"/>
                <w:sz w:val="24"/>
                <w:highlight w:val="none"/>
                <w:u w:val="single"/>
              </w:rPr>
              <w:t>和新</w:t>
            </w:r>
            <w:r>
              <w:rPr>
                <w:rFonts w:hint="eastAsia" w:ascii="宋体" w:hAnsi="宋体" w:eastAsia="宋体" w:cs="宋体"/>
                <w:b w:val="0"/>
                <w:bCs w:val="0"/>
                <w:sz w:val="24"/>
                <w:highlight w:val="none"/>
                <w:u w:val="single"/>
                <w:lang w:eastAsia="zh-CN"/>
              </w:rPr>
              <w:t>中标人</w:t>
            </w:r>
            <w:r>
              <w:rPr>
                <w:rFonts w:hint="eastAsia" w:ascii="宋体" w:hAnsi="宋体" w:eastAsia="宋体" w:cs="宋体"/>
                <w:b w:val="0"/>
                <w:bCs w:val="0"/>
                <w:sz w:val="24"/>
                <w:highlight w:val="none"/>
                <w:u w:val="single"/>
              </w:rPr>
              <w:t>完成交接勘验，账目核算无误无争议的，</w:t>
            </w:r>
            <w:r>
              <w:rPr>
                <w:rFonts w:hint="eastAsia" w:ascii="宋体" w:hAnsi="宋体" w:eastAsia="宋体" w:cs="宋体"/>
                <w:b w:val="0"/>
                <w:bCs w:val="0"/>
                <w:sz w:val="24"/>
                <w:highlight w:val="none"/>
                <w:u w:val="single"/>
                <w:lang w:val="en-US" w:eastAsia="zh-CN"/>
              </w:rPr>
              <w:t>完成交接勘验之日起</w:t>
            </w:r>
            <w:r>
              <w:rPr>
                <w:rFonts w:hint="eastAsia" w:ascii="宋体" w:hAnsi="宋体" w:eastAsia="宋体" w:cs="宋体"/>
                <w:b w:val="0"/>
                <w:bCs w:val="0"/>
                <w:sz w:val="24"/>
                <w:highlight w:val="none"/>
                <w:u w:val="single"/>
              </w:rPr>
              <w:t>15个工作日之内退还余额，账目核算有争议的，15个工作日之内先行退还无争议部分余额，争议部分金额按双方最终达成的共识执行。</w:t>
            </w:r>
          </w:p>
        </w:tc>
      </w:tr>
      <w:tr w14:paraId="54D1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73" w:type="pct"/>
            <w:vAlign w:val="center"/>
          </w:tcPr>
          <w:p w14:paraId="4EE3247A">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lang w:val="en-US" w:eastAsia="zh-CN"/>
              </w:rPr>
              <w:t>27</w:t>
            </w:r>
            <w:r>
              <w:rPr>
                <w:rFonts w:hint="eastAsia" w:asciiTheme="minorEastAsia" w:hAnsiTheme="minorEastAsia" w:eastAsiaTheme="minorEastAsia" w:cstheme="minorEastAsia"/>
                <w:bCs/>
                <w:color w:val="auto"/>
                <w:kern w:val="2"/>
                <w:highlight w:val="none"/>
              </w:rPr>
              <w:t>.1</w:t>
            </w:r>
          </w:p>
        </w:tc>
        <w:tc>
          <w:tcPr>
            <w:tcW w:w="1173" w:type="pct"/>
            <w:vAlign w:val="center"/>
          </w:tcPr>
          <w:p w14:paraId="7FEF24D7">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lang w:val="en-US" w:eastAsia="zh-CN"/>
              </w:rPr>
              <w:t>签订合同和合同公告时间</w:t>
            </w:r>
          </w:p>
        </w:tc>
        <w:tc>
          <w:tcPr>
            <w:tcW w:w="3253" w:type="pct"/>
          </w:tcPr>
          <w:p w14:paraId="0E093C6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rPr>
            </w:pPr>
            <w:r>
              <w:rPr>
                <w:rFonts w:hint="eastAsia" w:asciiTheme="minorEastAsia" w:hAnsiTheme="minorEastAsia" w:eastAsiaTheme="minorEastAsia" w:cstheme="minorEastAsia"/>
                <w:b w:val="0"/>
                <w:color w:val="auto"/>
                <w:spacing w:val="0"/>
                <w:w w:val="100"/>
                <w:position w:val="0"/>
                <w:sz w:val="24"/>
                <w:highlight w:val="none"/>
              </w:rPr>
              <w:t>（1）采购人与中标人应当自发出中标通知书之日起</w:t>
            </w:r>
            <w:r>
              <w:rPr>
                <w:rFonts w:hint="eastAsia" w:asciiTheme="minorEastAsia" w:hAnsiTheme="minorEastAsia" w:eastAsiaTheme="minorEastAsia" w:cstheme="minorEastAsia"/>
                <w:b w:val="0"/>
                <w:color w:val="auto"/>
                <w:spacing w:val="0"/>
                <w:w w:val="100"/>
                <w:position w:val="0"/>
                <w:sz w:val="24"/>
                <w:highlight w:val="none"/>
                <w:lang w:val="en-US" w:eastAsia="zh-CN"/>
              </w:rPr>
              <w:t>10</w:t>
            </w:r>
            <w:r>
              <w:rPr>
                <w:rFonts w:hint="eastAsia" w:asciiTheme="minorEastAsia" w:hAnsiTheme="minorEastAsia" w:eastAsiaTheme="minorEastAsia" w:cstheme="minorEastAsia"/>
                <w:b w:val="0"/>
                <w:color w:val="auto"/>
                <w:spacing w:val="0"/>
                <w:w w:val="100"/>
                <w:position w:val="0"/>
                <w:sz w:val="24"/>
                <w:highlight w:val="none"/>
              </w:rPr>
              <w:t>个工作日内签订合同。</w:t>
            </w:r>
          </w:p>
        </w:tc>
      </w:tr>
      <w:tr w14:paraId="3CC3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470A87D5">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lang w:val="en-US" w:eastAsia="zh-CN"/>
              </w:rPr>
              <w:t>28</w:t>
            </w:r>
            <w:r>
              <w:rPr>
                <w:rFonts w:hint="eastAsia" w:asciiTheme="minorEastAsia" w:hAnsiTheme="minorEastAsia" w:eastAsiaTheme="minorEastAsia" w:cstheme="minorEastAsia"/>
                <w:bCs/>
                <w:color w:val="auto"/>
                <w:kern w:val="2"/>
                <w:highlight w:val="none"/>
              </w:rPr>
              <w:t>.1</w:t>
            </w:r>
          </w:p>
        </w:tc>
        <w:tc>
          <w:tcPr>
            <w:tcW w:w="1173" w:type="pct"/>
            <w:vAlign w:val="center"/>
          </w:tcPr>
          <w:p w14:paraId="2005E018">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lang w:eastAsia="zh-CN"/>
              </w:rPr>
            </w:pPr>
            <w:r>
              <w:rPr>
                <w:rFonts w:hint="eastAsia" w:asciiTheme="minorEastAsia" w:hAnsiTheme="minorEastAsia" w:eastAsiaTheme="minorEastAsia" w:cstheme="minorEastAsia"/>
                <w:b w:val="0"/>
                <w:color w:val="auto"/>
                <w:sz w:val="24"/>
                <w:highlight w:val="none"/>
                <w:lang w:val="en-US" w:eastAsia="zh-CN"/>
              </w:rPr>
              <w:t>代理费用</w:t>
            </w:r>
          </w:p>
        </w:tc>
        <w:tc>
          <w:tcPr>
            <w:tcW w:w="3253" w:type="pct"/>
            <w:vAlign w:val="center"/>
          </w:tcPr>
          <w:p w14:paraId="4DCDF933">
            <w:pPr>
              <w:pStyle w:val="20"/>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eastAsia="en-US"/>
              </w:rPr>
            </w:pPr>
            <w:r>
              <w:rPr>
                <w:rFonts w:hint="eastAsia" w:asciiTheme="minorEastAsia" w:hAnsiTheme="minorEastAsia" w:eastAsiaTheme="minorEastAsia" w:cstheme="minorEastAsia"/>
                <w:b w:val="0"/>
                <w:color w:val="auto"/>
                <w:spacing w:val="0"/>
                <w:w w:val="100"/>
                <w:position w:val="0"/>
                <w:sz w:val="24"/>
                <w:highlight w:val="none"/>
              </w:rPr>
              <w:t>中标（成交）服务费：</w:t>
            </w:r>
            <w:r>
              <w:rPr>
                <w:rFonts w:hint="eastAsia" w:asciiTheme="minorEastAsia" w:hAnsiTheme="minorEastAsia" w:eastAsiaTheme="minorEastAsia" w:cstheme="minorEastAsia"/>
                <w:b w:val="0"/>
                <w:color w:val="auto"/>
                <w:spacing w:val="0"/>
                <w:w w:val="100"/>
                <w:position w:val="0"/>
                <w:sz w:val="24"/>
                <w:highlight w:val="none"/>
                <w:lang w:val="en-US" w:eastAsia="zh-CN"/>
              </w:rPr>
              <w:t>38000</w:t>
            </w:r>
            <w:r>
              <w:rPr>
                <w:rFonts w:hint="eastAsia" w:asciiTheme="minorEastAsia" w:hAnsiTheme="minorEastAsia" w:eastAsiaTheme="minorEastAsia" w:cstheme="minorEastAsia"/>
                <w:b w:val="0"/>
                <w:color w:val="auto"/>
                <w:spacing w:val="0"/>
                <w:w w:val="100"/>
                <w:position w:val="0"/>
                <w:sz w:val="24"/>
                <w:highlight w:val="none"/>
              </w:rPr>
              <w:t>元（大写：</w:t>
            </w:r>
            <w:r>
              <w:rPr>
                <w:rFonts w:hint="eastAsia" w:asciiTheme="minorEastAsia" w:hAnsiTheme="minorEastAsia" w:eastAsiaTheme="minorEastAsia" w:cstheme="minorEastAsia"/>
                <w:b w:val="0"/>
                <w:color w:val="auto"/>
                <w:spacing w:val="0"/>
                <w:w w:val="100"/>
                <w:position w:val="0"/>
                <w:sz w:val="24"/>
                <w:highlight w:val="none"/>
                <w:lang w:val="en-US" w:eastAsia="zh-CN"/>
              </w:rPr>
              <w:t>叁万捌仟</w:t>
            </w:r>
            <w:r>
              <w:rPr>
                <w:rFonts w:hint="eastAsia" w:asciiTheme="minorEastAsia" w:hAnsiTheme="minorEastAsia" w:eastAsiaTheme="minorEastAsia" w:cstheme="minorEastAsia"/>
                <w:b w:val="0"/>
                <w:color w:val="auto"/>
                <w:spacing w:val="0"/>
                <w:w w:val="100"/>
                <w:position w:val="0"/>
                <w:sz w:val="24"/>
                <w:highlight w:val="none"/>
              </w:rPr>
              <w:t>元整）</w:t>
            </w:r>
            <w:r>
              <w:rPr>
                <w:rFonts w:hint="eastAsia" w:asciiTheme="minorEastAsia" w:hAnsiTheme="minorEastAsia" w:eastAsiaTheme="minorEastAsia" w:cstheme="minorEastAsia"/>
                <w:b w:val="0"/>
                <w:color w:val="auto"/>
                <w:spacing w:val="0"/>
                <w:w w:val="100"/>
                <w:position w:val="0"/>
                <w:sz w:val="24"/>
                <w:highlight w:val="none"/>
                <w:lang w:eastAsia="zh-CN"/>
              </w:rPr>
              <w:t>。</w:t>
            </w:r>
            <w:r>
              <w:rPr>
                <w:rFonts w:hint="eastAsia" w:asciiTheme="minorEastAsia" w:hAnsiTheme="minorEastAsia" w:eastAsiaTheme="minorEastAsia" w:cstheme="minorEastAsia"/>
                <w:b w:val="0"/>
                <w:color w:val="auto"/>
                <w:spacing w:val="0"/>
                <w:w w:val="100"/>
                <w:position w:val="0"/>
                <w:sz w:val="24"/>
                <w:highlight w:val="none"/>
                <w:lang w:val="en-US" w:eastAsia="en-US"/>
              </w:rPr>
              <w:t>以上费用，不单独列出，投标人自行考虑</w:t>
            </w:r>
            <w:r>
              <w:rPr>
                <w:rFonts w:hint="eastAsia" w:asciiTheme="minorEastAsia" w:hAnsiTheme="minorEastAsia" w:eastAsiaTheme="minorEastAsia" w:cstheme="minorEastAsia"/>
                <w:b w:val="0"/>
                <w:color w:val="auto"/>
                <w:spacing w:val="0"/>
                <w:w w:val="100"/>
                <w:position w:val="0"/>
                <w:sz w:val="24"/>
                <w:highlight w:val="none"/>
                <w:lang w:val="en-US" w:eastAsia="zh-CN"/>
              </w:rPr>
              <w:t>，包</w:t>
            </w:r>
            <w:r>
              <w:rPr>
                <w:rFonts w:hint="eastAsia" w:asciiTheme="minorEastAsia" w:hAnsiTheme="minorEastAsia" w:eastAsiaTheme="minorEastAsia" w:cstheme="minorEastAsia"/>
                <w:b w:val="0"/>
                <w:color w:val="auto"/>
                <w:spacing w:val="0"/>
                <w:w w:val="100"/>
                <w:position w:val="0"/>
                <w:sz w:val="24"/>
                <w:highlight w:val="none"/>
                <w:lang w:val="en-US" w:eastAsia="en-US"/>
              </w:rPr>
              <w:t>含在</w:t>
            </w:r>
            <w:r>
              <w:rPr>
                <w:rFonts w:hint="eastAsia" w:asciiTheme="minorEastAsia" w:hAnsiTheme="minorEastAsia" w:eastAsiaTheme="minorEastAsia" w:cstheme="minorEastAsia"/>
                <w:b w:val="0"/>
                <w:color w:val="auto"/>
                <w:spacing w:val="0"/>
                <w:w w:val="100"/>
                <w:position w:val="0"/>
                <w:sz w:val="24"/>
                <w:highlight w:val="none"/>
                <w:lang w:val="en-US" w:eastAsia="zh-CN"/>
              </w:rPr>
              <w:t>投标报价</w:t>
            </w:r>
            <w:r>
              <w:rPr>
                <w:rFonts w:hint="eastAsia" w:asciiTheme="minorEastAsia" w:hAnsiTheme="minorEastAsia" w:eastAsiaTheme="minorEastAsia" w:cstheme="minorEastAsia"/>
                <w:b w:val="0"/>
                <w:color w:val="auto"/>
                <w:spacing w:val="0"/>
                <w:w w:val="100"/>
                <w:position w:val="0"/>
                <w:sz w:val="24"/>
                <w:highlight w:val="none"/>
                <w:lang w:val="en-US" w:eastAsia="en-US"/>
              </w:rPr>
              <w:t>中，</w:t>
            </w:r>
            <w:r>
              <w:rPr>
                <w:rFonts w:hint="eastAsia" w:asciiTheme="minorEastAsia" w:hAnsiTheme="minorEastAsia" w:eastAsiaTheme="minorEastAsia" w:cstheme="minorEastAsia"/>
                <w:b w:val="0"/>
                <w:color w:val="auto"/>
                <w:spacing w:val="0"/>
                <w:w w:val="100"/>
                <w:position w:val="0"/>
                <w:sz w:val="24"/>
                <w:highlight w:val="none"/>
                <w:lang w:val="en-US" w:eastAsia="zh-CN"/>
              </w:rPr>
              <w:t>以上费用在</w:t>
            </w:r>
            <w:r>
              <w:rPr>
                <w:rFonts w:hint="eastAsia" w:asciiTheme="minorEastAsia" w:hAnsiTheme="minorEastAsia" w:eastAsiaTheme="minorEastAsia" w:cstheme="minorEastAsia"/>
                <w:b w:val="0"/>
                <w:color w:val="auto"/>
                <w:spacing w:val="0"/>
                <w:w w:val="100"/>
                <w:position w:val="0"/>
                <w:sz w:val="24"/>
                <w:highlight w:val="none"/>
                <w:lang w:val="en-US" w:eastAsia="en-US"/>
              </w:rPr>
              <w:t>领取</w:t>
            </w:r>
            <w:r>
              <w:rPr>
                <w:rFonts w:hint="eastAsia" w:asciiTheme="minorEastAsia" w:hAnsiTheme="minorEastAsia" w:eastAsiaTheme="minorEastAsia" w:cstheme="minorEastAsia"/>
                <w:b w:val="0"/>
                <w:color w:val="auto"/>
                <w:spacing w:val="0"/>
                <w:w w:val="100"/>
                <w:position w:val="0"/>
                <w:sz w:val="24"/>
                <w:highlight w:val="none"/>
                <w:lang w:val="en-US" w:eastAsia="zh-CN"/>
              </w:rPr>
              <w:t>中标（成交）通知书</w:t>
            </w:r>
            <w:r>
              <w:rPr>
                <w:rFonts w:hint="eastAsia" w:asciiTheme="minorEastAsia" w:hAnsiTheme="minorEastAsia" w:eastAsiaTheme="minorEastAsia" w:cstheme="minorEastAsia"/>
                <w:b w:val="0"/>
                <w:color w:val="auto"/>
                <w:spacing w:val="0"/>
                <w:w w:val="100"/>
                <w:position w:val="0"/>
                <w:sz w:val="24"/>
                <w:highlight w:val="none"/>
                <w:lang w:val="en-US" w:eastAsia="en-US"/>
              </w:rPr>
              <w:t>前缴纳。</w:t>
            </w:r>
          </w:p>
          <w:p w14:paraId="4AEA6C22">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eastAsia="en-US"/>
              </w:rPr>
            </w:pPr>
            <w:r>
              <w:rPr>
                <w:rFonts w:hint="eastAsia" w:asciiTheme="minorEastAsia" w:hAnsiTheme="minorEastAsia" w:eastAsiaTheme="minorEastAsia" w:cstheme="minorEastAsia"/>
                <w:b w:val="0"/>
                <w:color w:val="auto"/>
                <w:spacing w:val="0"/>
                <w:w w:val="100"/>
                <w:position w:val="0"/>
                <w:sz w:val="24"/>
                <w:highlight w:val="none"/>
                <w:lang w:val="en-US" w:eastAsia="en-US"/>
              </w:rPr>
              <w:t>（2）支付方式:转账/电汇</w:t>
            </w:r>
          </w:p>
          <w:p w14:paraId="033D14A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eastAsia="en-US"/>
              </w:rPr>
            </w:pPr>
            <w:r>
              <w:rPr>
                <w:rFonts w:hint="eastAsia" w:asciiTheme="minorEastAsia" w:hAnsiTheme="minorEastAsia" w:eastAsiaTheme="minorEastAsia" w:cstheme="minorEastAsia"/>
                <w:b w:val="0"/>
                <w:color w:val="auto"/>
                <w:spacing w:val="0"/>
                <w:w w:val="100"/>
                <w:position w:val="0"/>
                <w:sz w:val="24"/>
                <w:highlight w:val="none"/>
                <w:lang w:val="en-US" w:eastAsia="en-US"/>
              </w:rPr>
              <w:t>（3）收取单位:盛唐工程咨询集团有限公司</w:t>
            </w:r>
          </w:p>
          <w:p w14:paraId="0E35D883">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eastAsia="en-US"/>
              </w:rPr>
            </w:pPr>
            <w:r>
              <w:rPr>
                <w:rFonts w:hint="eastAsia" w:asciiTheme="minorEastAsia" w:hAnsiTheme="minorEastAsia" w:eastAsiaTheme="minorEastAsia" w:cstheme="minorEastAsia"/>
                <w:b w:val="0"/>
                <w:color w:val="auto"/>
                <w:spacing w:val="0"/>
                <w:w w:val="100"/>
                <w:position w:val="0"/>
                <w:sz w:val="24"/>
                <w:highlight w:val="none"/>
                <w:lang w:val="en-US" w:eastAsia="en-US"/>
              </w:rPr>
              <w:t>（4）缴纳时间:中标通知书发放前由中标人一次性支付</w:t>
            </w:r>
          </w:p>
          <w:p w14:paraId="65112F55">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eastAsia="en-US"/>
              </w:rPr>
            </w:pPr>
            <w:r>
              <w:rPr>
                <w:rFonts w:hint="eastAsia" w:asciiTheme="minorEastAsia" w:hAnsiTheme="minorEastAsia" w:eastAsiaTheme="minorEastAsia" w:cstheme="minorEastAsia"/>
                <w:b w:val="0"/>
                <w:color w:val="auto"/>
                <w:spacing w:val="0"/>
                <w:w w:val="100"/>
                <w:position w:val="0"/>
                <w:sz w:val="24"/>
                <w:highlight w:val="none"/>
                <w:lang w:val="en-US" w:eastAsia="en-US"/>
              </w:rPr>
              <w:t>（5）缴纳账户：</w:t>
            </w:r>
          </w:p>
          <w:p w14:paraId="7BCA9669">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eastAsia="en-US"/>
              </w:rPr>
            </w:pPr>
            <w:r>
              <w:rPr>
                <w:rFonts w:hint="eastAsia" w:asciiTheme="minorEastAsia" w:hAnsiTheme="minorEastAsia" w:eastAsiaTheme="minorEastAsia" w:cstheme="minorEastAsia"/>
                <w:b w:val="0"/>
                <w:color w:val="auto"/>
                <w:spacing w:val="0"/>
                <w:w w:val="100"/>
                <w:position w:val="0"/>
                <w:sz w:val="24"/>
                <w:highlight w:val="none"/>
                <w:lang w:val="en-US" w:eastAsia="en-US"/>
              </w:rPr>
              <w:t>开户名称:盛唐工程咨询集团有限公司</w:t>
            </w:r>
          </w:p>
          <w:p w14:paraId="028E3A26">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eastAsia="en-US"/>
              </w:rPr>
            </w:pPr>
            <w:r>
              <w:rPr>
                <w:rFonts w:hint="eastAsia" w:asciiTheme="minorEastAsia" w:hAnsiTheme="minorEastAsia" w:eastAsiaTheme="minorEastAsia" w:cstheme="minorEastAsia"/>
                <w:b w:val="0"/>
                <w:color w:val="auto"/>
                <w:spacing w:val="0"/>
                <w:w w:val="100"/>
                <w:position w:val="0"/>
                <w:sz w:val="24"/>
                <w:highlight w:val="none"/>
                <w:lang w:val="en-US" w:eastAsia="en-US"/>
              </w:rPr>
              <w:t>开户银行:中国工商银行合肥市东陈岗支行（行号102361000111）</w:t>
            </w:r>
          </w:p>
          <w:p w14:paraId="40BB1B81">
            <w:pPr>
              <w:pStyle w:val="2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ind w:right="0" w:rightChars="0"/>
              <w:jc w:val="both"/>
              <w:textAlignment w:val="auto"/>
              <w:rPr>
                <w:rFonts w:hint="eastAsia" w:asciiTheme="minorEastAsia" w:hAnsiTheme="minorEastAsia" w:eastAsiaTheme="minorEastAsia" w:cstheme="minorEastAsia"/>
                <w:b w:val="0"/>
                <w:color w:val="auto"/>
                <w:spacing w:val="0"/>
                <w:w w:val="100"/>
                <w:position w:val="0"/>
                <w:sz w:val="24"/>
                <w:highlight w:val="none"/>
                <w:lang w:val="en-US" w:eastAsia="en-US"/>
              </w:rPr>
            </w:pPr>
            <w:r>
              <w:rPr>
                <w:rFonts w:hint="eastAsia" w:asciiTheme="minorEastAsia" w:hAnsiTheme="minorEastAsia" w:eastAsiaTheme="minorEastAsia" w:cstheme="minorEastAsia"/>
                <w:b w:val="0"/>
                <w:color w:val="auto"/>
                <w:spacing w:val="0"/>
                <w:w w:val="100"/>
                <w:position w:val="0"/>
                <w:sz w:val="24"/>
                <w:highlight w:val="none"/>
                <w:lang w:val="en-US" w:eastAsia="en-US"/>
              </w:rPr>
              <w:t>银行账号:1302 0121 0920 0016 470</w:t>
            </w:r>
          </w:p>
        </w:tc>
      </w:tr>
      <w:tr w14:paraId="2226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7E6BF0AF">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eastAsia="zh-CN"/>
              </w:rPr>
            </w:pPr>
            <w:r>
              <w:rPr>
                <w:rFonts w:hint="eastAsia" w:asciiTheme="minorEastAsia" w:hAnsiTheme="minorEastAsia" w:eastAsiaTheme="minorEastAsia" w:cstheme="minorEastAsia"/>
                <w:bCs/>
                <w:color w:val="auto"/>
                <w:kern w:val="2"/>
                <w:highlight w:val="none"/>
              </w:rPr>
              <w:t>3</w:t>
            </w:r>
            <w:r>
              <w:rPr>
                <w:rFonts w:hint="eastAsia" w:asciiTheme="minorEastAsia" w:hAnsiTheme="minorEastAsia" w:eastAsiaTheme="minorEastAsia" w:cstheme="minorEastAsia"/>
                <w:bCs/>
                <w:color w:val="auto"/>
                <w:kern w:val="2"/>
                <w:highlight w:val="none"/>
                <w:lang w:val="en-US" w:eastAsia="zh-CN"/>
              </w:rPr>
              <w:t>1</w:t>
            </w:r>
            <w:r>
              <w:rPr>
                <w:rFonts w:hint="eastAsia" w:asciiTheme="minorEastAsia" w:hAnsiTheme="minorEastAsia" w:eastAsiaTheme="minorEastAsia" w:cstheme="minorEastAsia"/>
                <w:bCs/>
                <w:color w:val="auto"/>
                <w:kern w:val="2"/>
                <w:highlight w:val="none"/>
              </w:rPr>
              <w:t>.</w:t>
            </w:r>
            <w:r>
              <w:rPr>
                <w:rFonts w:hint="eastAsia" w:asciiTheme="minorEastAsia" w:hAnsiTheme="minorEastAsia" w:eastAsiaTheme="minorEastAsia" w:cstheme="minorEastAsia"/>
                <w:bCs/>
                <w:color w:val="auto"/>
                <w:kern w:val="2"/>
                <w:highlight w:val="none"/>
                <w:lang w:val="en-US" w:eastAsia="zh-CN"/>
              </w:rPr>
              <w:t>2</w:t>
            </w:r>
          </w:p>
        </w:tc>
        <w:tc>
          <w:tcPr>
            <w:tcW w:w="1173" w:type="pct"/>
            <w:vAlign w:val="center"/>
          </w:tcPr>
          <w:p w14:paraId="454E50FA">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lang w:eastAsia="zh-CN"/>
              </w:rPr>
            </w:pPr>
            <w:r>
              <w:rPr>
                <w:rFonts w:hint="eastAsia" w:asciiTheme="minorEastAsia" w:hAnsiTheme="minorEastAsia" w:eastAsiaTheme="minorEastAsia" w:cstheme="minorEastAsia"/>
                <w:b w:val="0"/>
                <w:color w:val="auto"/>
                <w:sz w:val="24"/>
                <w:highlight w:val="none"/>
              </w:rPr>
              <w:t>质疑</w:t>
            </w:r>
            <w:r>
              <w:rPr>
                <w:rFonts w:hint="eastAsia" w:asciiTheme="minorEastAsia" w:hAnsiTheme="minorEastAsia" w:eastAsiaTheme="minorEastAsia" w:cstheme="minorEastAsia"/>
                <w:b w:val="0"/>
                <w:color w:val="auto"/>
                <w:sz w:val="24"/>
                <w:highlight w:val="none"/>
                <w:lang w:val="en-US" w:eastAsia="zh-CN"/>
              </w:rPr>
              <w:t>的提出</w:t>
            </w:r>
          </w:p>
        </w:tc>
        <w:tc>
          <w:tcPr>
            <w:tcW w:w="3253" w:type="pct"/>
            <w:vAlign w:val="center"/>
          </w:tcPr>
          <w:p w14:paraId="7F3F1F86">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color w:val="auto"/>
                <w:sz w:val="24"/>
                <w:highlight w:val="none"/>
                <w:u w:val="single"/>
              </w:rPr>
              <w:t>1、对采购文件提出质疑的，应当在采购文件公告期限届满之日起7个工作日内通过书面提出。</w:t>
            </w:r>
          </w:p>
          <w:p w14:paraId="07726B9B">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color w:val="auto"/>
                <w:sz w:val="24"/>
                <w:highlight w:val="none"/>
                <w:u w:val="single"/>
              </w:rPr>
              <w:t>2、供应商认为采购过程、成交结果使自己的权益受到损害的，可以在知道或者应知其权益受到损害之日起7个工作日内，通过书面提出。</w:t>
            </w:r>
          </w:p>
          <w:p w14:paraId="030CC761">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val="0"/>
                <w:color w:val="auto"/>
                <w:sz w:val="24"/>
                <w:highlight w:val="none"/>
                <w:u w:val="single"/>
              </w:rPr>
              <w:t>3、质疑函格式按照采购文件格式第</w:t>
            </w:r>
            <w:r>
              <w:rPr>
                <w:rFonts w:hint="eastAsia" w:asciiTheme="minorEastAsia" w:hAnsiTheme="minorEastAsia" w:eastAsiaTheme="minorEastAsia" w:cstheme="minorEastAsia"/>
                <w:b w:val="0"/>
                <w:color w:val="auto"/>
                <w:sz w:val="24"/>
                <w:highlight w:val="none"/>
                <w:u w:val="single"/>
                <w:lang w:val="en-US" w:eastAsia="zh-CN"/>
              </w:rPr>
              <w:t>七</w:t>
            </w:r>
            <w:r>
              <w:rPr>
                <w:rFonts w:hint="eastAsia" w:asciiTheme="minorEastAsia" w:hAnsiTheme="minorEastAsia" w:eastAsiaTheme="minorEastAsia" w:cstheme="minorEastAsia"/>
                <w:b w:val="0"/>
                <w:color w:val="auto"/>
                <w:sz w:val="24"/>
                <w:highlight w:val="none"/>
                <w:u w:val="single"/>
              </w:rPr>
              <w:t>章 供应商询问函和质疑函范本。</w:t>
            </w:r>
          </w:p>
          <w:p w14:paraId="7F113DF1">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u w:val="single"/>
              </w:rPr>
              <w:t>特别提示：提出质疑时须注明项目名称及项目编号。</w:t>
            </w:r>
          </w:p>
        </w:tc>
      </w:tr>
      <w:tr w14:paraId="4936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39C73B8E">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31.3</w:t>
            </w:r>
          </w:p>
        </w:tc>
        <w:tc>
          <w:tcPr>
            <w:tcW w:w="1173" w:type="pct"/>
            <w:vAlign w:val="center"/>
          </w:tcPr>
          <w:p w14:paraId="173BE172">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lang w:val="en-US" w:eastAsia="zh-CN"/>
              </w:rPr>
            </w:pPr>
            <w:r>
              <w:rPr>
                <w:rFonts w:hint="eastAsia" w:asciiTheme="minorEastAsia" w:hAnsiTheme="minorEastAsia" w:eastAsiaTheme="minorEastAsia" w:cstheme="minorEastAsia"/>
                <w:b w:val="0"/>
                <w:color w:val="auto"/>
                <w:sz w:val="24"/>
                <w:highlight w:val="none"/>
              </w:rPr>
              <w:t>质疑函递交方式、接收部门、联系电话和通讯地址</w:t>
            </w:r>
          </w:p>
        </w:tc>
        <w:tc>
          <w:tcPr>
            <w:tcW w:w="3253" w:type="pct"/>
            <w:vAlign w:val="center"/>
          </w:tcPr>
          <w:p w14:paraId="30E76E62">
            <w:pPr>
              <w:pStyle w:val="20"/>
              <w:widowControl w:val="0"/>
              <w:spacing w:before="0" w:beforeAutospacing="0" w:after="0" w:afterAutospacing="0" w:line="360" w:lineRule="auto"/>
              <w:jc w:val="both"/>
              <w:rPr>
                <w:rFonts w:ascii="宋体" w:hAnsi="宋体" w:eastAsia="宋体" w:cs="宋体"/>
                <w:b w:val="0"/>
                <w:sz w:val="24"/>
                <w:lang w:val="zh-CN"/>
              </w:rPr>
            </w:pPr>
            <w:r>
              <w:rPr>
                <w:rFonts w:hint="eastAsia" w:ascii="宋体" w:hAnsi="宋体" w:eastAsia="宋体" w:cs="宋体"/>
                <w:b w:val="0"/>
                <w:sz w:val="24"/>
              </w:rPr>
              <w:t>递交方式：</w:t>
            </w:r>
            <w:r>
              <w:rPr>
                <w:rFonts w:hint="eastAsia" w:ascii="宋体" w:hAnsi="宋体" w:eastAsia="宋体" w:cs="宋体"/>
                <w:b w:val="0"/>
                <w:sz w:val="24"/>
                <w:lang w:val="zh-CN"/>
              </w:rPr>
              <w:t>书面提出</w:t>
            </w:r>
          </w:p>
          <w:p w14:paraId="4152EAC7">
            <w:pPr>
              <w:pStyle w:val="20"/>
              <w:widowControl w:val="0"/>
              <w:spacing w:before="0" w:beforeAutospacing="0" w:after="0" w:afterAutospacing="0" w:line="360" w:lineRule="auto"/>
              <w:jc w:val="both"/>
              <w:rPr>
                <w:rFonts w:hint="eastAsia" w:ascii="宋体" w:hAnsi="宋体" w:eastAsia="宋体" w:cs="宋体"/>
                <w:b w:val="0"/>
                <w:bCs w:val="0"/>
                <w:sz w:val="24"/>
                <w:u w:val="single"/>
              </w:rPr>
            </w:pPr>
            <w:r>
              <w:rPr>
                <w:rFonts w:hint="eastAsia" w:ascii="宋体" w:hAnsi="宋体" w:eastAsia="宋体" w:cs="宋体"/>
                <w:b w:val="0"/>
                <w:sz w:val="24"/>
                <w:lang w:val="zh-CN"/>
              </w:rPr>
              <w:t>接收部门：</w:t>
            </w:r>
            <w:r>
              <w:rPr>
                <w:rFonts w:hint="eastAsia" w:ascii="宋体" w:hAnsi="宋体" w:eastAsia="宋体" w:cs="宋体"/>
                <w:b w:val="0"/>
                <w:bCs w:val="0"/>
                <w:sz w:val="24"/>
                <w:u w:val="single"/>
                <w:lang w:eastAsia="zh-CN"/>
              </w:rPr>
              <w:t>港利上城国际小区第二届业主委员会</w:t>
            </w:r>
            <w:r>
              <w:rPr>
                <w:rFonts w:hint="eastAsia" w:ascii="宋体" w:hAnsi="宋体" w:eastAsia="宋体" w:cs="宋体"/>
                <w:b w:val="0"/>
                <w:bCs w:val="0"/>
                <w:sz w:val="24"/>
                <w:u w:val="single"/>
              </w:rPr>
              <w:t>、盛唐工程咨询集团有限公司</w:t>
            </w:r>
          </w:p>
          <w:p w14:paraId="23DD4B2F">
            <w:pPr>
              <w:pStyle w:val="20"/>
              <w:widowControl w:val="0"/>
              <w:spacing w:before="0" w:beforeAutospacing="0" w:after="0" w:afterAutospacing="0" w:line="360" w:lineRule="auto"/>
              <w:jc w:val="both"/>
              <w:rPr>
                <w:rFonts w:ascii="宋体" w:hAnsi="宋体" w:eastAsia="宋体" w:cs="宋体"/>
                <w:b w:val="0"/>
                <w:sz w:val="24"/>
                <w:lang w:val="zh-CN"/>
              </w:rPr>
            </w:pPr>
            <w:r>
              <w:rPr>
                <w:rFonts w:hint="eastAsia" w:ascii="宋体" w:hAnsi="宋体" w:eastAsia="宋体" w:cs="宋体"/>
                <w:b w:val="0"/>
                <w:sz w:val="24"/>
                <w:lang w:val="zh-CN"/>
              </w:rPr>
              <w:t>联系电话：</w:t>
            </w:r>
            <w:r>
              <w:rPr>
                <w:rFonts w:hint="eastAsia" w:ascii="宋体" w:hAnsi="宋体" w:eastAsia="宋体" w:cs="宋体"/>
                <w:b w:val="0"/>
                <w:bCs w:val="0"/>
                <w:sz w:val="24"/>
                <w:szCs w:val="24"/>
                <w:u w:val="single"/>
                <w:lang w:val="en-US" w:eastAsia="zh-CN"/>
              </w:rPr>
              <w:t>13965731646、</w:t>
            </w:r>
            <w:r>
              <w:rPr>
                <w:rFonts w:hint="eastAsia" w:ascii="宋体" w:hAnsi="宋体" w:eastAsia="宋体" w:cs="宋体"/>
                <w:b w:val="0"/>
                <w:bCs w:val="0"/>
                <w:sz w:val="24"/>
                <w:u w:val="single"/>
              </w:rPr>
              <w:t>15240081560</w:t>
            </w:r>
          </w:p>
          <w:p w14:paraId="05C64F64">
            <w:pPr>
              <w:pStyle w:val="20"/>
              <w:widowControl w:val="0"/>
              <w:spacing w:before="0" w:beforeAutospacing="0" w:after="0" w:afterAutospacing="0" w:line="360" w:lineRule="auto"/>
              <w:jc w:val="both"/>
              <w:rPr>
                <w:rFonts w:ascii="宋体" w:hAnsi="宋体" w:eastAsia="宋体" w:cs="宋体"/>
                <w:b w:val="0"/>
                <w:sz w:val="24"/>
                <w:lang w:val="zh-CN"/>
              </w:rPr>
            </w:pPr>
            <w:r>
              <w:rPr>
                <w:rFonts w:hint="eastAsia" w:ascii="宋体" w:hAnsi="宋体" w:eastAsia="宋体" w:cs="宋体"/>
                <w:b w:val="0"/>
                <w:sz w:val="24"/>
                <w:lang w:val="zh-CN"/>
              </w:rPr>
              <w:t>电子邮箱：</w:t>
            </w:r>
            <w:r>
              <w:rPr>
                <w:rFonts w:hint="eastAsia" w:ascii="宋体" w:hAnsi="宋体" w:eastAsia="宋体" w:cs="宋体"/>
                <w:b w:val="0"/>
                <w:bCs w:val="0"/>
                <w:sz w:val="24"/>
                <w:u w:val="single"/>
              </w:rPr>
              <w:t>15240081560@163.com</w:t>
            </w:r>
          </w:p>
          <w:p w14:paraId="5AE071B9">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宋体" w:hAnsi="宋体" w:eastAsia="宋体" w:cs="宋体"/>
                <w:b w:val="0"/>
                <w:sz w:val="24"/>
                <w:lang w:val="zh-CN"/>
              </w:rPr>
              <w:t>通讯地址：</w:t>
            </w:r>
            <w:r>
              <w:rPr>
                <w:rFonts w:hint="eastAsia" w:ascii="宋体" w:hAnsi="宋体" w:eastAsia="宋体" w:cs="宋体"/>
                <w:b w:val="0"/>
                <w:bCs w:val="0"/>
                <w:sz w:val="24"/>
                <w:u w:val="single"/>
              </w:rPr>
              <w:t>阜阳市颍州区</w:t>
            </w:r>
            <w:r>
              <w:rPr>
                <w:rFonts w:hint="eastAsia" w:ascii="宋体" w:hAnsi="宋体" w:eastAsia="宋体" w:cs="宋体"/>
                <w:b w:val="0"/>
                <w:bCs w:val="0"/>
                <w:sz w:val="24"/>
                <w:u w:val="single"/>
                <w:lang w:eastAsia="zh-CN"/>
              </w:rPr>
              <w:t>颍</w:t>
            </w:r>
            <w:r>
              <w:rPr>
                <w:rFonts w:hint="eastAsia" w:ascii="宋体" w:hAnsi="宋体" w:eastAsia="宋体" w:cs="宋体"/>
                <w:b w:val="0"/>
                <w:bCs w:val="0"/>
                <w:sz w:val="24"/>
                <w:u w:val="single"/>
              </w:rPr>
              <w:t>西街道清河西路51号、</w:t>
            </w:r>
            <w:r>
              <w:rPr>
                <w:rFonts w:hint="eastAsia" w:ascii="宋体" w:hAnsi="宋体" w:eastAsia="宋体" w:cs="宋体"/>
                <w:b w:val="0"/>
                <w:bCs w:val="0"/>
                <w:sz w:val="24"/>
                <w:u w:val="single"/>
                <w:lang w:val="en-US" w:eastAsia="zh-CN"/>
              </w:rPr>
              <w:t>安徽省合肥市包河区福州路3436号千城大厦七楼</w:t>
            </w:r>
          </w:p>
        </w:tc>
      </w:tr>
      <w:tr w14:paraId="0BFF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2244A929">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31.8</w:t>
            </w:r>
          </w:p>
        </w:tc>
        <w:tc>
          <w:tcPr>
            <w:tcW w:w="1173" w:type="pct"/>
            <w:vAlign w:val="center"/>
          </w:tcPr>
          <w:p w14:paraId="248D39E1">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lang w:val="en-US" w:eastAsia="zh-CN"/>
              </w:rPr>
            </w:pPr>
            <w:r>
              <w:rPr>
                <w:rFonts w:hint="eastAsia" w:asciiTheme="minorEastAsia" w:hAnsiTheme="minorEastAsia" w:eastAsiaTheme="minorEastAsia" w:cstheme="minorEastAsia"/>
                <w:b w:val="0"/>
                <w:color w:val="auto"/>
                <w:sz w:val="24"/>
                <w:highlight w:val="none"/>
              </w:rPr>
              <w:t>投诉函递交方式</w:t>
            </w:r>
            <w:r>
              <w:rPr>
                <w:rFonts w:hint="eastAsia" w:asciiTheme="minorEastAsia" w:hAnsiTheme="minorEastAsia" w:eastAsiaTheme="minorEastAsia" w:cstheme="minorEastAsia"/>
                <w:b w:val="0"/>
                <w:color w:val="auto"/>
                <w:sz w:val="24"/>
                <w:highlight w:val="none"/>
                <w:lang w:eastAsia="zh-CN"/>
              </w:rPr>
              <w:t>、</w:t>
            </w:r>
            <w:r>
              <w:rPr>
                <w:rFonts w:hint="eastAsia" w:asciiTheme="minorEastAsia" w:hAnsiTheme="minorEastAsia" w:eastAsiaTheme="minorEastAsia" w:cstheme="minorEastAsia"/>
                <w:b w:val="0"/>
                <w:color w:val="auto"/>
                <w:sz w:val="24"/>
                <w:highlight w:val="none"/>
              </w:rPr>
              <w:t>接收部门、联系电话和通讯地址</w:t>
            </w:r>
          </w:p>
        </w:tc>
        <w:tc>
          <w:tcPr>
            <w:tcW w:w="3253" w:type="pct"/>
            <w:vAlign w:val="center"/>
          </w:tcPr>
          <w:p w14:paraId="172B7E6F">
            <w:pPr>
              <w:pStyle w:val="20"/>
              <w:widowControl w:val="0"/>
              <w:spacing w:before="0" w:beforeAutospacing="0" w:after="0" w:afterAutospacing="0" w:line="360" w:lineRule="auto"/>
              <w:jc w:val="both"/>
              <w:rPr>
                <w:rFonts w:ascii="宋体" w:hAnsi="宋体" w:eastAsia="宋体" w:cs="宋体"/>
                <w:b w:val="0"/>
                <w:sz w:val="24"/>
                <w:lang w:val="zh-CN"/>
              </w:rPr>
            </w:pPr>
            <w:r>
              <w:rPr>
                <w:rFonts w:hint="eastAsia" w:ascii="宋体" w:hAnsi="宋体" w:eastAsia="宋体" w:cs="宋体"/>
                <w:b w:val="0"/>
                <w:sz w:val="24"/>
              </w:rPr>
              <w:t>递交方式：</w:t>
            </w:r>
            <w:r>
              <w:rPr>
                <w:rFonts w:hint="eastAsia" w:ascii="宋体" w:hAnsi="宋体" w:eastAsia="宋体" w:cs="宋体"/>
                <w:b w:val="0"/>
                <w:sz w:val="24"/>
                <w:lang w:val="zh-CN"/>
              </w:rPr>
              <w:t>书面提出</w:t>
            </w:r>
          </w:p>
          <w:p w14:paraId="0D47A5A3">
            <w:pPr>
              <w:pStyle w:val="20"/>
              <w:widowControl w:val="0"/>
              <w:spacing w:before="0" w:beforeAutospacing="0" w:after="0" w:afterAutospacing="0" w:line="360" w:lineRule="auto"/>
              <w:jc w:val="both"/>
              <w:rPr>
                <w:rFonts w:ascii="宋体" w:hAnsi="宋体" w:eastAsia="宋体" w:cs="宋体"/>
                <w:b w:val="0"/>
                <w:sz w:val="24"/>
                <w:lang w:val="zh-CN"/>
              </w:rPr>
            </w:pPr>
            <w:r>
              <w:rPr>
                <w:rFonts w:hint="eastAsia" w:ascii="宋体" w:hAnsi="宋体" w:eastAsia="宋体" w:cs="宋体"/>
                <w:b w:val="0"/>
                <w:sz w:val="24"/>
                <w:lang w:val="zh-CN"/>
              </w:rPr>
              <w:t>接收部门：</w:t>
            </w:r>
            <w:r>
              <w:rPr>
                <w:rFonts w:hint="eastAsia" w:ascii="宋体" w:hAnsi="宋体" w:eastAsia="宋体" w:cs="宋体"/>
                <w:b w:val="0"/>
                <w:bCs w:val="0"/>
                <w:sz w:val="24"/>
                <w:u w:val="single"/>
              </w:rPr>
              <w:t>阜阳市颍州区住房保障中心</w:t>
            </w:r>
          </w:p>
          <w:p w14:paraId="0B7B4BFD">
            <w:pPr>
              <w:pStyle w:val="20"/>
              <w:widowControl w:val="0"/>
              <w:spacing w:before="0" w:beforeAutospacing="0" w:after="0" w:afterAutospacing="0" w:line="360" w:lineRule="auto"/>
              <w:jc w:val="both"/>
              <w:rPr>
                <w:rFonts w:ascii="宋体" w:hAnsi="宋体" w:eastAsia="宋体" w:cs="宋体"/>
                <w:b w:val="0"/>
                <w:sz w:val="24"/>
                <w:lang w:val="zh-CN"/>
              </w:rPr>
            </w:pPr>
            <w:r>
              <w:rPr>
                <w:rFonts w:hint="eastAsia" w:ascii="宋体" w:hAnsi="宋体" w:eastAsia="宋体" w:cs="宋体"/>
                <w:b w:val="0"/>
                <w:sz w:val="24"/>
                <w:lang w:val="zh-CN"/>
              </w:rPr>
              <w:t>联系电话：</w:t>
            </w:r>
            <w:r>
              <w:rPr>
                <w:rFonts w:hint="eastAsia" w:ascii="宋体" w:hAnsi="宋体" w:eastAsia="宋体" w:cs="宋体"/>
                <w:b w:val="0"/>
                <w:bCs w:val="0"/>
                <w:sz w:val="24"/>
                <w:u w:val="single"/>
              </w:rPr>
              <w:t>蔡股长15805580677</w:t>
            </w:r>
          </w:p>
          <w:p w14:paraId="46104C80">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宋体" w:hAnsi="宋体" w:eastAsia="宋体" w:cs="宋体"/>
                <w:b w:val="0"/>
                <w:sz w:val="24"/>
                <w:lang w:val="zh-CN"/>
              </w:rPr>
              <w:t>通讯地址：</w:t>
            </w:r>
            <w:r>
              <w:rPr>
                <w:rFonts w:hint="eastAsia" w:ascii="宋体" w:hAnsi="宋体" w:eastAsia="宋体" w:cs="宋体"/>
                <w:b w:val="0"/>
                <w:bCs w:val="0"/>
                <w:sz w:val="24"/>
                <w:u w:val="single"/>
              </w:rPr>
              <w:t>阜阳市颍州区林</w:t>
            </w:r>
            <w:r>
              <w:rPr>
                <w:rFonts w:hint="eastAsia" w:ascii="宋体" w:hAnsi="宋体" w:eastAsia="宋体" w:cs="宋体"/>
                <w:b w:val="0"/>
                <w:bCs w:val="0"/>
                <w:sz w:val="24"/>
                <w:u w:val="single"/>
                <w:lang w:eastAsia="zh-CN"/>
              </w:rPr>
              <w:t>颍</w:t>
            </w:r>
            <w:r>
              <w:rPr>
                <w:rFonts w:hint="eastAsia" w:ascii="宋体" w:hAnsi="宋体" w:eastAsia="宋体" w:cs="宋体"/>
                <w:b w:val="0"/>
                <w:bCs w:val="0"/>
                <w:sz w:val="24"/>
                <w:u w:val="single"/>
              </w:rPr>
              <w:t>路166号颍南春天小区</w:t>
            </w:r>
          </w:p>
        </w:tc>
      </w:tr>
      <w:tr w14:paraId="2C4C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4B0CD8BE">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33</w:t>
            </w:r>
          </w:p>
        </w:tc>
        <w:tc>
          <w:tcPr>
            <w:tcW w:w="1173" w:type="pct"/>
            <w:vAlign w:val="center"/>
          </w:tcPr>
          <w:p w14:paraId="48ABB948">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lang w:val="en-US" w:eastAsia="zh-CN"/>
              </w:rPr>
            </w:pPr>
            <w:r>
              <w:rPr>
                <w:rFonts w:hint="eastAsia" w:asciiTheme="minorEastAsia" w:hAnsiTheme="minorEastAsia" w:eastAsiaTheme="minorEastAsia" w:cstheme="minorEastAsia"/>
                <w:b w:val="0"/>
                <w:color w:val="auto"/>
                <w:sz w:val="24"/>
                <w:highlight w:val="none"/>
                <w:lang w:val="en-US" w:eastAsia="zh-CN"/>
              </w:rPr>
              <w:t>其他内容</w:t>
            </w:r>
          </w:p>
        </w:tc>
        <w:tc>
          <w:tcPr>
            <w:tcW w:w="3253" w:type="pct"/>
            <w:vAlign w:val="center"/>
          </w:tcPr>
          <w:p w14:paraId="3DDD5B78">
            <w:pPr>
              <w:pStyle w:val="20"/>
              <w:pageBreakBefore w:val="0"/>
              <w:widowControl w:val="0"/>
              <w:numPr>
                <w:ilvl w:val="0"/>
                <w:numId w:val="0"/>
              </w:numPr>
              <w:kinsoku/>
              <w:overflowPunct/>
              <w:topLinePunct w:val="0"/>
              <w:bidi w:val="0"/>
              <w:spacing w:before="0" w:beforeAutospacing="0" w:after="0" w:afterAutospacing="0" w:line="360" w:lineRule="auto"/>
              <w:ind w:left="0" w:leftChars="0" w:right="0" w:rightChars="0"/>
              <w:jc w:val="both"/>
              <w:textAlignment w:val="auto"/>
              <w:rPr>
                <w:rFonts w:hint="default"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w:t>
            </w:r>
          </w:p>
        </w:tc>
      </w:tr>
      <w:tr w14:paraId="59EC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2756A722">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33.1</w:t>
            </w:r>
          </w:p>
        </w:tc>
        <w:tc>
          <w:tcPr>
            <w:tcW w:w="1173" w:type="pct"/>
            <w:vAlign w:val="center"/>
          </w:tcPr>
          <w:p w14:paraId="10A86F14">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lang w:val="en-US" w:eastAsia="zh-CN"/>
              </w:rPr>
            </w:pPr>
            <w:r>
              <w:rPr>
                <w:rFonts w:hint="eastAsia" w:asciiTheme="minorEastAsia" w:hAnsiTheme="minorEastAsia" w:eastAsiaTheme="minorEastAsia" w:cstheme="minorEastAsia"/>
                <w:b w:val="0"/>
                <w:color w:val="auto"/>
                <w:sz w:val="24"/>
                <w:highlight w:val="none"/>
              </w:rPr>
              <w:t>关于联合体投标的相关约定</w:t>
            </w:r>
          </w:p>
        </w:tc>
        <w:tc>
          <w:tcPr>
            <w:tcW w:w="3253" w:type="pct"/>
            <w:vAlign w:val="center"/>
          </w:tcPr>
          <w:p w14:paraId="7B68DB9F">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（1）联合体投标的，招标文件获取手续由联合体中任一成员单位办理均可。</w:t>
            </w:r>
          </w:p>
          <w:p w14:paraId="563548DE">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（2）联合体投标的须提供联合协议（见投标文件格式），相关证明材料由投标人根据联合协议分工情况及招标文件要求提供。</w:t>
            </w:r>
          </w:p>
          <w:p w14:paraId="32A02A74">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sz w:val="24"/>
                <w:highlight w:val="none"/>
              </w:rPr>
              <w:t>（3）联合体各成员单位均须提供营业执照</w:t>
            </w:r>
            <w:r>
              <w:rPr>
                <w:rFonts w:hint="eastAsia" w:asciiTheme="minorEastAsia" w:hAnsiTheme="minorEastAsia" w:eastAsiaTheme="minorEastAsia" w:cstheme="minorEastAsia"/>
                <w:b/>
                <w:bCs w:val="0"/>
                <w:color w:val="auto"/>
                <w:sz w:val="24"/>
                <w:highlight w:val="none"/>
                <w:lang w:val="en-US" w:eastAsia="zh-CN"/>
              </w:rPr>
              <w:t>等证明文件</w:t>
            </w:r>
            <w:r>
              <w:rPr>
                <w:rFonts w:hint="eastAsia" w:asciiTheme="minorEastAsia" w:hAnsiTheme="minorEastAsia" w:eastAsiaTheme="minorEastAsia" w:cstheme="minorEastAsia"/>
                <w:b/>
                <w:bCs w:val="0"/>
                <w:color w:val="auto"/>
                <w:sz w:val="24"/>
                <w:highlight w:val="none"/>
              </w:rPr>
              <w:t>（</w:t>
            </w:r>
            <w:r>
              <w:rPr>
                <w:rFonts w:hint="eastAsia" w:asciiTheme="minorEastAsia" w:hAnsiTheme="minorEastAsia" w:eastAsiaTheme="minorEastAsia" w:cstheme="minorEastAsia"/>
                <w:b/>
                <w:bCs w:val="0"/>
                <w:color w:val="auto"/>
                <w:sz w:val="24"/>
                <w:highlight w:val="none"/>
                <w:lang w:val="en-US" w:eastAsia="zh-CN"/>
              </w:rPr>
              <w:t>具体见第四章 评标办法和标准</w:t>
            </w:r>
            <w:r>
              <w:rPr>
                <w:rFonts w:hint="eastAsia" w:asciiTheme="minorEastAsia" w:hAnsiTheme="minorEastAsia" w:eastAsiaTheme="minorEastAsia" w:cstheme="minorEastAsia"/>
                <w:b/>
                <w:bCs w:val="0"/>
                <w:color w:val="auto"/>
                <w:sz w:val="24"/>
                <w:highlight w:val="none"/>
              </w:rPr>
              <w:t>）和</w:t>
            </w:r>
            <w:r>
              <w:rPr>
                <w:rFonts w:hint="eastAsia" w:asciiTheme="minorEastAsia" w:hAnsiTheme="minorEastAsia" w:eastAsiaTheme="minorEastAsia" w:cstheme="minorEastAsia"/>
                <w:b/>
                <w:bCs w:val="0"/>
                <w:color w:val="auto"/>
                <w:sz w:val="24"/>
                <w:highlight w:val="none"/>
                <w:lang w:val="en-US" w:eastAsia="zh-CN"/>
              </w:rPr>
              <w:t>投标人资格声明书</w:t>
            </w:r>
            <w:r>
              <w:rPr>
                <w:rFonts w:hint="eastAsia" w:asciiTheme="minorEastAsia" w:hAnsiTheme="minorEastAsia" w:eastAsiaTheme="minorEastAsia" w:cstheme="minorEastAsia"/>
                <w:b/>
                <w:bCs w:val="0"/>
                <w:color w:val="auto"/>
                <w:sz w:val="24"/>
                <w:highlight w:val="none"/>
              </w:rPr>
              <w:t>。</w:t>
            </w:r>
          </w:p>
        </w:tc>
      </w:tr>
      <w:tr w14:paraId="0421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5F7F5F07">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33.2</w:t>
            </w:r>
          </w:p>
        </w:tc>
        <w:tc>
          <w:tcPr>
            <w:tcW w:w="1173" w:type="pct"/>
            <w:shd w:val="clear" w:color="auto" w:fill="auto"/>
            <w:vAlign w:val="center"/>
          </w:tcPr>
          <w:p w14:paraId="1E15C2D0">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kern w:val="0"/>
                <w:sz w:val="24"/>
                <w:szCs w:val="28"/>
                <w:highlight w:val="none"/>
                <w:lang w:val="en-US" w:eastAsia="zh-CN" w:bidi="ar-SA"/>
              </w:rPr>
            </w:pPr>
            <w:r>
              <w:rPr>
                <w:rFonts w:hint="eastAsia" w:asciiTheme="minorEastAsia" w:hAnsiTheme="minorEastAsia" w:eastAsiaTheme="minorEastAsia" w:cstheme="minorEastAsia"/>
                <w:b w:val="0"/>
                <w:color w:val="auto"/>
                <w:sz w:val="24"/>
                <w:highlight w:val="none"/>
                <w:lang w:val="en-US" w:eastAsia="zh-CN"/>
              </w:rPr>
              <w:t>解释权</w:t>
            </w:r>
          </w:p>
        </w:tc>
        <w:tc>
          <w:tcPr>
            <w:tcW w:w="3253" w:type="pct"/>
            <w:shd w:val="clear" w:color="auto" w:fill="auto"/>
            <w:vAlign w:val="center"/>
          </w:tcPr>
          <w:p w14:paraId="05184364">
            <w:pPr>
              <w:pStyle w:val="20"/>
              <w:pageBreakBefore w:val="0"/>
              <w:widowControl w:val="0"/>
              <w:numPr>
                <w:ilvl w:val="0"/>
                <w:numId w:val="0"/>
              </w:numPr>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kern w:val="2"/>
                <w:sz w:val="24"/>
                <w:szCs w:val="24"/>
                <w:highlight w:val="none"/>
              </w:rPr>
            </w:pPr>
            <w:r>
              <w:rPr>
                <w:rFonts w:hint="eastAsia" w:asciiTheme="minorEastAsia" w:hAnsiTheme="minorEastAsia" w:eastAsiaTheme="minorEastAsia" w:cstheme="minorEastAsia"/>
                <w:b w:val="0"/>
                <w:bCs/>
                <w:color w:val="auto"/>
                <w:kern w:val="2"/>
                <w:sz w:val="24"/>
                <w:szCs w:val="24"/>
                <w:highlight w:val="none"/>
              </w:rPr>
              <w:t>（1）构成本招标文件的各个组成文件应互为解释，互为说明；</w:t>
            </w:r>
          </w:p>
          <w:p w14:paraId="23367128">
            <w:pPr>
              <w:pStyle w:val="20"/>
              <w:pageBreakBefore w:val="0"/>
              <w:widowControl w:val="0"/>
              <w:numPr>
                <w:ilvl w:val="0"/>
                <w:numId w:val="0"/>
              </w:numPr>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kern w:val="2"/>
                <w:sz w:val="24"/>
                <w:szCs w:val="24"/>
                <w:highlight w:val="none"/>
              </w:rPr>
            </w:pPr>
            <w:r>
              <w:rPr>
                <w:rFonts w:hint="eastAsia" w:asciiTheme="minorEastAsia" w:hAnsiTheme="minorEastAsia" w:eastAsiaTheme="minorEastAsia" w:cstheme="minorEastAsia"/>
                <w:b w:val="0"/>
                <w:bCs/>
                <w:color w:val="auto"/>
                <w:kern w:val="2"/>
                <w:sz w:val="24"/>
                <w:szCs w:val="24"/>
                <w:highlight w:val="none"/>
              </w:rPr>
              <w:t>（2）同一组成文件中就同一事项的规定或约定不一致的，以编排顺序在后者为准；</w:t>
            </w:r>
          </w:p>
          <w:p w14:paraId="44869304">
            <w:pPr>
              <w:pStyle w:val="20"/>
              <w:pageBreakBefore w:val="0"/>
              <w:widowControl w:val="0"/>
              <w:numPr>
                <w:ilvl w:val="0"/>
                <w:numId w:val="0"/>
              </w:numPr>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kern w:val="2"/>
                <w:sz w:val="24"/>
                <w:szCs w:val="24"/>
                <w:highlight w:val="none"/>
              </w:rPr>
            </w:pPr>
            <w:r>
              <w:rPr>
                <w:rFonts w:hint="eastAsia" w:asciiTheme="minorEastAsia" w:hAnsiTheme="minorEastAsia" w:eastAsiaTheme="minorEastAsia" w:cstheme="minorEastAsia"/>
                <w:b w:val="0"/>
                <w:bCs/>
                <w:color w:val="auto"/>
                <w:kern w:val="2"/>
                <w:sz w:val="24"/>
                <w:szCs w:val="24"/>
                <w:highlight w:val="none"/>
              </w:rPr>
              <w:t>（3）如有不明确或不一致，构成合同文件组成内容的，以合同文件约定内容为准，且以专用合同条款约定的合同文件优先顺序解释；</w:t>
            </w:r>
          </w:p>
          <w:p w14:paraId="7A33E296">
            <w:pPr>
              <w:pStyle w:val="20"/>
              <w:pageBreakBefore w:val="0"/>
              <w:widowControl w:val="0"/>
              <w:numPr>
                <w:ilvl w:val="0"/>
                <w:numId w:val="0"/>
              </w:numPr>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bCs/>
                <w:color w:val="auto"/>
                <w:kern w:val="2"/>
                <w:sz w:val="24"/>
                <w:szCs w:val="24"/>
                <w:highlight w:val="none"/>
              </w:rPr>
            </w:pPr>
            <w:r>
              <w:rPr>
                <w:rFonts w:hint="eastAsia" w:asciiTheme="minorEastAsia" w:hAnsiTheme="minorEastAsia" w:eastAsiaTheme="minorEastAsia" w:cstheme="minorEastAsia"/>
                <w:b w:val="0"/>
                <w:bCs/>
                <w:color w:val="auto"/>
                <w:kern w:val="2"/>
                <w:sz w:val="24"/>
                <w:szCs w:val="24"/>
                <w:highlight w:val="none"/>
              </w:rPr>
              <w:t>（4）除招标文件中有特别规定外，仅适用于招标投标阶段的规定，按招标公告、投标人须知、评标方法和标准、投标文件格式的先后顺序解释；</w:t>
            </w:r>
          </w:p>
          <w:p w14:paraId="3A366548">
            <w:pPr>
              <w:pStyle w:val="20"/>
              <w:pageBreakBefore w:val="0"/>
              <w:widowControl w:val="0"/>
              <w:numPr>
                <w:ilvl w:val="0"/>
                <w:numId w:val="0"/>
              </w:numPr>
              <w:kinsoku/>
              <w:overflowPunct/>
              <w:topLinePunct w:val="0"/>
              <w:bidi w:val="0"/>
              <w:spacing w:before="0" w:beforeAutospacing="0" w:after="0" w:afterAutospacing="0" w:line="360" w:lineRule="auto"/>
              <w:ind w:left="0" w:leftChars="0" w:right="0" w:rightChars="0" w:firstLine="0" w:firstLineChars="0"/>
              <w:jc w:val="both"/>
              <w:textAlignment w:val="auto"/>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（5）按本款前述规定仍不能形成结论的，由采购人负责解释。</w:t>
            </w:r>
          </w:p>
        </w:tc>
      </w:tr>
      <w:tr w14:paraId="0DD9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3" w:type="pct"/>
            <w:vAlign w:val="center"/>
          </w:tcPr>
          <w:p w14:paraId="3F5104E3">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default"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33.3</w:t>
            </w:r>
          </w:p>
        </w:tc>
        <w:tc>
          <w:tcPr>
            <w:tcW w:w="1173" w:type="pct"/>
            <w:shd w:val="clear" w:color="auto" w:fill="auto"/>
            <w:vAlign w:val="center"/>
          </w:tcPr>
          <w:p w14:paraId="2148BA95">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lang w:val="en-US" w:eastAsia="zh-CN"/>
              </w:rPr>
            </w:pPr>
            <w:r>
              <w:rPr>
                <w:rFonts w:hint="eastAsia" w:ascii="宋体" w:hAnsi="宋体" w:eastAsia="宋体" w:cs="宋体"/>
                <w:b w:val="0"/>
                <w:sz w:val="24"/>
                <w:lang w:eastAsia="en-US"/>
              </w:rPr>
              <w:t>其他补充说明</w:t>
            </w:r>
          </w:p>
        </w:tc>
        <w:tc>
          <w:tcPr>
            <w:tcW w:w="3253" w:type="pct"/>
            <w:shd w:val="clear" w:color="auto" w:fill="auto"/>
            <w:vAlign w:val="center"/>
          </w:tcPr>
          <w:p w14:paraId="06CB75DA">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bCs w:val="0"/>
                <w:color w:val="auto"/>
                <w:spacing w:val="0"/>
                <w:w w:val="100"/>
                <w:kern w:val="2"/>
                <w:position w:val="0"/>
                <w:sz w:val="24"/>
                <w:szCs w:val="24"/>
                <w:highlight w:val="none"/>
                <w:lang w:val="en-US" w:eastAsia="zh-CN" w:bidi="ar-SA"/>
              </w:rPr>
            </w:pPr>
            <w:r>
              <w:rPr>
                <w:rFonts w:hint="eastAsia" w:asciiTheme="minorEastAsia" w:hAnsiTheme="minorEastAsia" w:eastAsiaTheme="minorEastAsia" w:cstheme="minorEastAsia"/>
                <w:b/>
                <w:bCs w:val="0"/>
                <w:color w:val="auto"/>
                <w:spacing w:val="0"/>
                <w:w w:val="100"/>
                <w:kern w:val="2"/>
                <w:position w:val="0"/>
                <w:sz w:val="24"/>
                <w:szCs w:val="24"/>
                <w:highlight w:val="none"/>
                <w:lang w:val="en-US" w:eastAsia="zh-CN" w:bidi="ar-SA"/>
              </w:rPr>
              <w:t>（1）本项目非政府采购项目，按规定不执行政府采购法规定的方式和程序，由采购人按照内控制度自行组织实施。</w:t>
            </w:r>
          </w:p>
          <w:p w14:paraId="084CFDDB">
            <w:pPr>
              <w:pageBreakBefore w:val="0"/>
              <w:kinsoku/>
              <w:overflowPunct/>
              <w:topLinePunct w:val="0"/>
              <w:bidi w:val="0"/>
              <w:spacing w:line="360" w:lineRule="auto"/>
              <w:ind w:left="0" w:leftChars="0" w:right="0" w:rightChars="0"/>
              <w:textAlignment w:val="auto"/>
              <w:rPr>
                <w:rFonts w:hint="default" w:asciiTheme="minorEastAsia" w:hAnsiTheme="minorEastAsia" w:eastAsiaTheme="minorEastAsia" w:cstheme="minorEastAsia"/>
                <w:b/>
                <w:bCs w:val="0"/>
                <w:color w:val="auto"/>
                <w:spacing w:val="0"/>
                <w:w w:val="100"/>
                <w:kern w:val="2"/>
                <w:position w:val="0"/>
                <w:sz w:val="24"/>
                <w:szCs w:val="24"/>
                <w:highlight w:val="none"/>
                <w:lang w:val="en-US" w:eastAsia="zh-CN" w:bidi="ar-SA"/>
              </w:rPr>
            </w:pPr>
            <w:r>
              <w:rPr>
                <w:rFonts w:hint="eastAsia" w:asciiTheme="minorEastAsia" w:hAnsiTheme="minorEastAsia" w:eastAsiaTheme="minorEastAsia" w:cstheme="minorEastAsia"/>
                <w:b/>
                <w:bCs w:val="0"/>
                <w:color w:val="auto"/>
                <w:spacing w:val="0"/>
                <w:w w:val="100"/>
                <w:kern w:val="2"/>
                <w:position w:val="0"/>
                <w:sz w:val="24"/>
                <w:szCs w:val="24"/>
                <w:highlight w:val="none"/>
                <w:lang w:val="en-US" w:eastAsia="zh-CN" w:bidi="ar-SA"/>
              </w:rPr>
              <w:t>（2）本项目仅采购文件格式参考政府采购公开招标文件格式。</w:t>
            </w:r>
          </w:p>
        </w:tc>
      </w:tr>
    </w:tbl>
    <w:p w14:paraId="2A8A73CC">
      <w:pPr>
        <w:pageBreakBefore w:val="0"/>
        <w:kinsoku/>
        <w:overflowPunct/>
        <w:topLinePunct w:val="0"/>
        <w:bidi w:val="0"/>
        <w:spacing w:line="360" w:lineRule="auto"/>
        <w:ind w:left="0" w:leftChars="0" w:right="0" w:rightChars="0" w:firstLine="562"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8"/>
          <w:highlight w:val="none"/>
        </w:rPr>
        <w:br w:type="page"/>
      </w:r>
      <w:bookmarkStart w:id="100" w:name="_Toc24882"/>
      <w:bookmarkStart w:id="101" w:name="_Toc9427"/>
    </w:p>
    <w:p w14:paraId="16ABDF16">
      <w:pPr>
        <w:pStyle w:val="3"/>
        <w:pageBreakBefore w:val="0"/>
        <w:kinsoku/>
        <w:overflowPunct/>
        <w:topLinePunct w:val="0"/>
        <w:bidi w:val="0"/>
        <w:spacing w:before="0" w:after="0"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bookmarkStart w:id="102" w:name="_Toc9634"/>
      <w:r>
        <w:rPr>
          <w:rFonts w:hint="eastAsia" w:asciiTheme="minorEastAsia" w:hAnsiTheme="minorEastAsia" w:eastAsiaTheme="minorEastAsia" w:cstheme="minorEastAsia"/>
          <w:color w:val="auto"/>
          <w:highlight w:val="none"/>
        </w:rPr>
        <w:t>二、投标人须知正文</w:t>
      </w:r>
      <w:bookmarkEnd w:id="100"/>
      <w:bookmarkEnd w:id="101"/>
      <w:bookmarkEnd w:id="102"/>
    </w:p>
    <w:p w14:paraId="6BAFD7CD">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1.总则</w:t>
      </w:r>
    </w:p>
    <w:p w14:paraId="4F55D9CA">
      <w:pPr>
        <w:pageBreakBefore w:val="0"/>
        <w:kinsoku/>
        <w:overflowPunct/>
        <w:topLinePunct w:val="0"/>
        <w:bidi w:val="0"/>
        <w:adjustRightInd w:val="0"/>
        <w:spacing w:line="360" w:lineRule="auto"/>
        <w:ind w:left="0" w:leftChars="0" w:right="0" w:rightChars="0" w:firstLine="480" w:firstLineChars="200"/>
        <w:textAlignment w:val="auto"/>
        <w:rPr>
          <w:rFonts w:hint="eastAsia" w:asciiTheme="minorEastAsia" w:hAnsiTheme="minorEastAsia" w:eastAsiaTheme="minorEastAsia" w:cstheme="minorEastAsia"/>
          <w:b w:val="0"/>
          <w:bCs/>
          <w:color w:val="auto"/>
          <w:sz w:val="24"/>
          <w:highlight w:val="cyan"/>
          <w:lang w:val="en-US" w:eastAsia="zh-CN"/>
        </w:rPr>
      </w:pPr>
      <w:r>
        <w:rPr>
          <w:rFonts w:hint="eastAsia" w:asciiTheme="minorEastAsia" w:hAnsiTheme="minorEastAsia" w:eastAsiaTheme="minorEastAsia" w:cstheme="minorEastAsia"/>
          <w:b w:val="0"/>
          <w:bCs w:val="0"/>
          <w:color w:val="auto"/>
          <w:sz w:val="24"/>
          <w:szCs w:val="20"/>
          <w:highlight w:val="none"/>
          <w:lang w:val="en-US" w:eastAsia="zh-CN"/>
        </w:rPr>
        <w:t>1.1适用范围：</w:t>
      </w:r>
      <w:r>
        <w:rPr>
          <w:rFonts w:hint="eastAsia" w:asciiTheme="minorEastAsia" w:hAnsiTheme="minorEastAsia" w:eastAsiaTheme="minorEastAsia" w:cstheme="minorEastAsia"/>
          <w:b w:val="0"/>
          <w:color w:val="auto"/>
          <w:sz w:val="24"/>
          <w:szCs w:val="20"/>
          <w:highlight w:val="none"/>
          <w:lang w:val="en-US" w:eastAsia="zh-CN"/>
        </w:rPr>
        <w:t>本招标文件仅适用于本次招标所述的服务项目采购，本项目适用《中华人民共和国招标投标法》。</w:t>
      </w:r>
    </w:p>
    <w:p w14:paraId="504652F0">
      <w:pPr>
        <w:pageBreakBefore w:val="0"/>
        <w:kinsoku/>
        <w:overflowPunct/>
        <w:topLinePunct w:val="0"/>
        <w:bidi w:val="0"/>
        <w:spacing w:line="360" w:lineRule="auto"/>
        <w:ind w:left="0" w:leftChars="0" w:right="0" w:rightChars="0" w:firstLine="437"/>
        <w:textAlignment w:val="auto"/>
        <w:outlineLvl w:val="9"/>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val="0"/>
          <w:bCs/>
          <w:color w:val="auto"/>
          <w:sz w:val="24"/>
          <w:highlight w:val="none"/>
          <w:lang w:val="en-US" w:eastAsia="zh-CN"/>
        </w:rPr>
        <w:t>1.2采购人、采购代理机构及投标人</w:t>
      </w:r>
    </w:p>
    <w:p w14:paraId="509E10C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采购人：是指依法开展政府采购活动的国家机关、事业单位、团体组织。</w:t>
      </w:r>
    </w:p>
    <w:p w14:paraId="7DECFFB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采购代理机构：是指集中采购机构或从事采购代理业务的社会中介机构。</w:t>
      </w:r>
    </w:p>
    <w:p w14:paraId="32018D0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监督管理部门：各级人民政府指定的有关部门</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依法履行与采购活动有关的监督管理职责。</w:t>
      </w:r>
    </w:p>
    <w:p w14:paraId="6A3809B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投标人：是指向采购人提供货物、工程或者服务的法人、</w:t>
      </w:r>
      <w:r>
        <w:rPr>
          <w:rFonts w:hint="eastAsia" w:asciiTheme="minorEastAsia" w:hAnsiTheme="minorEastAsia" w:eastAsiaTheme="minorEastAsia" w:cstheme="minorEastAsia"/>
          <w:color w:val="auto"/>
          <w:sz w:val="24"/>
          <w:highlight w:val="none"/>
          <w:lang w:val="en-US" w:eastAsia="zh-CN"/>
        </w:rPr>
        <w:t>其他</w:t>
      </w:r>
      <w:r>
        <w:rPr>
          <w:rFonts w:hint="eastAsia" w:asciiTheme="minorEastAsia" w:hAnsiTheme="minorEastAsia" w:eastAsiaTheme="minorEastAsia" w:cstheme="minorEastAsia"/>
          <w:color w:val="auto"/>
          <w:sz w:val="24"/>
          <w:highlight w:val="none"/>
        </w:rPr>
        <w:t>组织或者自然人。分支机构不得参加采购活动，但银行、保险、石油石化、电力、电信等特殊行业除外。本项目的投标人须满足以下条件：</w:t>
      </w:r>
    </w:p>
    <w:p w14:paraId="2514886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6.1</w:t>
      </w:r>
      <w:r>
        <w:rPr>
          <w:rFonts w:hint="eastAsia" w:asciiTheme="minorEastAsia" w:hAnsiTheme="minorEastAsia" w:eastAsiaTheme="minorEastAsia" w:cstheme="minorEastAsia"/>
          <w:color w:val="auto"/>
          <w:sz w:val="24"/>
          <w:highlight w:val="none"/>
        </w:rPr>
        <w:t>具备《中华人民共和国政府采购法》第二十二条关于供应商条件的规定，遵守本项目采购人本级和上级财政部门政府采购的有关规定。</w:t>
      </w:r>
    </w:p>
    <w:p w14:paraId="572F40A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6.2</w:t>
      </w:r>
      <w:r>
        <w:rPr>
          <w:rFonts w:hint="eastAsia" w:asciiTheme="minorEastAsia" w:hAnsiTheme="minorEastAsia" w:eastAsiaTheme="minorEastAsia" w:cstheme="minorEastAsia"/>
          <w:color w:val="auto"/>
          <w:sz w:val="24"/>
          <w:highlight w:val="none"/>
        </w:rPr>
        <w:t>以采购代理机构认可的方式获得了本项目的招标文件。</w:t>
      </w:r>
    </w:p>
    <w:p w14:paraId="6ECFAFB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6.3</w:t>
      </w:r>
      <w:r>
        <w:rPr>
          <w:rFonts w:hint="eastAsia" w:asciiTheme="minorEastAsia" w:hAnsiTheme="minorEastAsia" w:eastAsiaTheme="minorEastAsia" w:cstheme="minorEastAsia"/>
          <w:color w:val="auto"/>
          <w:sz w:val="24"/>
          <w:highlight w:val="none"/>
        </w:rPr>
        <w:t>若</w:t>
      </w:r>
      <w:r>
        <w:rPr>
          <w:rFonts w:hint="eastAsia" w:asciiTheme="minorEastAsia" w:hAnsiTheme="minorEastAsia" w:eastAsiaTheme="minorEastAsia" w:cstheme="minorEastAsia"/>
          <w:color w:val="auto"/>
          <w:sz w:val="24"/>
          <w:highlight w:val="none"/>
          <w:lang w:eastAsia="zh-CN"/>
        </w:rPr>
        <w:t>采购需求</w:t>
      </w:r>
      <w:r>
        <w:rPr>
          <w:rFonts w:hint="eastAsia" w:asciiTheme="minorEastAsia" w:hAnsiTheme="minorEastAsia" w:eastAsiaTheme="minorEastAsia" w:cstheme="minorEastAsia"/>
          <w:color w:val="auto"/>
          <w:sz w:val="24"/>
          <w:highlight w:val="none"/>
          <w:lang w:val="en-US" w:eastAsia="zh-CN"/>
        </w:rPr>
        <w:t>/投标人须知前附表</w:t>
      </w:r>
      <w:r>
        <w:rPr>
          <w:rFonts w:hint="eastAsia" w:asciiTheme="minorEastAsia" w:hAnsiTheme="minorEastAsia" w:eastAsiaTheme="minorEastAsia" w:cstheme="minorEastAsia"/>
          <w:color w:val="auto"/>
          <w:sz w:val="24"/>
          <w:highlight w:val="none"/>
        </w:rPr>
        <w:t>中写明允许采购进口产品，投标人应保证所投产品可履行合法报通关手续进入中国关境内。</w:t>
      </w:r>
    </w:p>
    <w:p w14:paraId="22BECF1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若</w:t>
      </w:r>
      <w:r>
        <w:rPr>
          <w:rFonts w:hint="eastAsia" w:asciiTheme="minorEastAsia" w:hAnsiTheme="minorEastAsia" w:eastAsiaTheme="minorEastAsia" w:cstheme="minorEastAsia"/>
          <w:color w:val="auto"/>
          <w:sz w:val="24"/>
          <w:highlight w:val="none"/>
          <w:lang w:eastAsia="zh-CN"/>
        </w:rPr>
        <w:t>采购需求</w:t>
      </w:r>
      <w:r>
        <w:rPr>
          <w:rFonts w:hint="eastAsia" w:asciiTheme="minorEastAsia" w:hAnsiTheme="minorEastAsia" w:eastAsiaTheme="minorEastAsia" w:cstheme="minorEastAsia"/>
          <w:color w:val="auto"/>
          <w:sz w:val="24"/>
          <w:highlight w:val="none"/>
          <w:lang w:val="en-US" w:eastAsia="zh-CN"/>
        </w:rPr>
        <w:t>/投标人须知前附表</w:t>
      </w:r>
      <w:r>
        <w:rPr>
          <w:rFonts w:hint="eastAsia" w:asciiTheme="minorEastAsia" w:hAnsiTheme="minorEastAsia" w:eastAsiaTheme="minorEastAsia" w:cstheme="minorEastAsia"/>
          <w:color w:val="auto"/>
          <w:sz w:val="24"/>
          <w:highlight w:val="none"/>
        </w:rPr>
        <w:t>中未写明允许采购进口产品，如投标人所投产品为进口产品，其投标将被认定为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2680616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若招标公告中允许联合体投标，对联合体规定如下：</w:t>
      </w:r>
    </w:p>
    <w:p w14:paraId="11748F0C">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1两个以上供应商可以组成一个投标联合体，以一个投标人的身份投标。</w:t>
      </w:r>
      <w:r>
        <w:rPr>
          <w:rFonts w:hint="eastAsia" w:asciiTheme="minorEastAsia" w:hAnsiTheme="minorEastAsia" w:eastAsiaTheme="minorEastAsia" w:cstheme="minorEastAsia"/>
          <w:b w:val="0"/>
          <w:color w:val="auto"/>
          <w:sz w:val="24"/>
          <w:highlight w:val="none"/>
        </w:rPr>
        <w:t>联合体投标的，招标文件获取手续由联合体中任一成员单位办理均可。</w:t>
      </w:r>
    </w:p>
    <w:p w14:paraId="526B3E7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2联合体各方均应符合《中华人民共和国政府采购法》第二十二条规定的条件。</w:t>
      </w:r>
    </w:p>
    <w:p w14:paraId="30595D0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3采购人根据采购项目对投标人的特殊要求，联合体中至少应当有一方符合相关规定。</w:t>
      </w:r>
    </w:p>
    <w:p w14:paraId="6A065D3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.4联合体各方应签订联合协议，明确约定联合体各方承担的工作和相应的责任，并将联合协议作为投标文件的一部分提交。</w:t>
      </w:r>
    </w:p>
    <w:p w14:paraId="1BF8304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.5大中型企业、其他自然人、法人或者非法人组织与小型、微型企业组成联合体共同参加投标，联合协议中应写明小型、微型企业的协议合同金额占到联合协议投标总金额的比例。</w:t>
      </w:r>
    </w:p>
    <w:p w14:paraId="13A6203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.6联合体中有同类资质的供应商按照联合体分工承担相同工作的，应当按照资质等级较低的供应商确定资质等级。</w:t>
      </w:r>
    </w:p>
    <w:p w14:paraId="1F2A4EA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.7以联合体形式参加采购活动的，联合体各方不得再单独参加或者与其他供应商另外组成联合体参加本项目投标，否则相关投标将被认定为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35309B6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.8对联合体投标的其他资格要求见</w:t>
      </w:r>
      <w:r>
        <w:rPr>
          <w:rFonts w:hint="eastAsia" w:asciiTheme="minorEastAsia" w:hAnsiTheme="minorEastAsia" w:eastAsiaTheme="minorEastAsia" w:cstheme="minorEastAsia"/>
          <w:color w:val="auto"/>
          <w:sz w:val="24"/>
          <w:highlight w:val="none"/>
          <w:lang w:val="en-US" w:eastAsia="zh-CN"/>
        </w:rPr>
        <w:t>申请人的</w:t>
      </w:r>
      <w:r>
        <w:rPr>
          <w:rFonts w:hint="eastAsia" w:asciiTheme="minorEastAsia" w:hAnsiTheme="minorEastAsia" w:eastAsiaTheme="minorEastAsia" w:cstheme="minorEastAsia"/>
          <w:color w:val="auto"/>
          <w:sz w:val="24"/>
          <w:highlight w:val="none"/>
        </w:rPr>
        <w:t>资格</w:t>
      </w:r>
      <w:r>
        <w:rPr>
          <w:rFonts w:hint="eastAsia" w:asciiTheme="minorEastAsia" w:hAnsiTheme="minorEastAsia" w:eastAsiaTheme="minorEastAsia" w:cstheme="minorEastAsia"/>
          <w:color w:val="auto"/>
          <w:sz w:val="24"/>
          <w:highlight w:val="none"/>
          <w:lang w:val="en-US" w:eastAsia="zh-CN"/>
        </w:rPr>
        <w:t>要求</w:t>
      </w:r>
      <w:r>
        <w:rPr>
          <w:rFonts w:hint="eastAsia" w:asciiTheme="minorEastAsia" w:hAnsiTheme="minorEastAsia" w:eastAsiaTheme="minorEastAsia" w:cstheme="minorEastAsia"/>
          <w:color w:val="auto"/>
          <w:sz w:val="24"/>
          <w:highlight w:val="none"/>
        </w:rPr>
        <w:t>。</w:t>
      </w:r>
    </w:p>
    <w:p w14:paraId="0BC51EFF">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2.资金落实情况</w:t>
      </w:r>
    </w:p>
    <w:p w14:paraId="4C09C3E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.1本项目的采购人已获得足以支付本次招标后所签订的合同项下的资金。</w:t>
      </w:r>
    </w:p>
    <w:p w14:paraId="2D70C438">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3.投标费用</w:t>
      </w:r>
    </w:p>
    <w:p w14:paraId="3EF6A7C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不论投标的结果如何，投标人应承担所有与准备和参加投标有关的费用。</w:t>
      </w:r>
    </w:p>
    <w:p w14:paraId="7839F900">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4.适用法律</w:t>
      </w:r>
    </w:p>
    <w:p w14:paraId="72068CA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本项目采购人、采购代理机构、投标人、评标委员会的相关行为均受《中华人民共和国政府采购法》、《中</w:t>
      </w:r>
      <w:r>
        <w:rPr>
          <w:rFonts w:hint="eastAsia" w:asciiTheme="minorEastAsia" w:hAnsiTheme="minorEastAsia" w:eastAsiaTheme="minorEastAsia" w:cstheme="minorEastAsia"/>
          <w:color w:val="auto"/>
          <w:sz w:val="24"/>
          <w:szCs w:val="22"/>
          <w:highlight w:val="none"/>
        </w:rPr>
        <w:t>华人民共和国政府采购法实施条例》</w:t>
      </w:r>
      <w:r>
        <w:rPr>
          <w:rFonts w:hint="eastAsia" w:asciiTheme="minorEastAsia" w:hAnsiTheme="minorEastAsia" w:eastAsiaTheme="minorEastAsia" w:cstheme="minorEastAsia"/>
          <w:color w:val="auto"/>
          <w:sz w:val="24"/>
          <w:szCs w:val="22"/>
          <w:highlight w:val="none"/>
          <w:lang w:val="en-US" w:eastAsia="zh-CN"/>
        </w:rPr>
        <w:t>及</w:t>
      </w:r>
      <w:r>
        <w:rPr>
          <w:rFonts w:hint="eastAsia" w:asciiTheme="minorEastAsia" w:hAnsiTheme="minorEastAsia" w:eastAsiaTheme="minorEastAsia" w:cstheme="minorEastAsia"/>
          <w:color w:val="auto"/>
          <w:sz w:val="24"/>
          <w:szCs w:val="22"/>
          <w:highlight w:val="none"/>
        </w:rPr>
        <w:t>本项目本级和上级财政部门、政府采购监督管理部门的政府采购有关规定的约束，其权利受到上述法律法规的保护。</w:t>
      </w:r>
    </w:p>
    <w:p w14:paraId="63D7726B">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5</w:t>
      </w:r>
      <w:r>
        <w:rPr>
          <w:rFonts w:hint="eastAsia" w:asciiTheme="minorEastAsia" w:hAnsiTheme="minorEastAsia" w:eastAsiaTheme="minorEastAsia" w:cstheme="minorEastAsia"/>
          <w:b/>
          <w:color w:val="auto"/>
          <w:sz w:val="24"/>
          <w:highlight w:val="none"/>
        </w:rPr>
        <w:t>.招标文件构成</w:t>
      </w:r>
    </w:p>
    <w:p w14:paraId="7EBBA7D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.1招标文件包括下列内容：</w:t>
      </w:r>
    </w:p>
    <w:p w14:paraId="129B6797">
      <w:pPr>
        <w:pageBreakBefore w:val="0"/>
        <w:kinsoku/>
        <w:overflowPunct/>
        <w:topLinePunct w:val="0"/>
        <w:bidi w:val="0"/>
        <w:spacing w:line="360" w:lineRule="auto"/>
        <w:ind w:left="0" w:leftChars="0" w:right="0" w:rightChars="0" w:firstLine="840" w:firstLineChars="350"/>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第一章  </w:t>
      </w:r>
      <w:r>
        <w:rPr>
          <w:rFonts w:hint="eastAsia" w:asciiTheme="minorEastAsia" w:hAnsiTheme="minorEastAsia" w:eastAsiaTheme="minorEastAsia" w:cstheme="minorEastAsia"/>
          <w:color w:val="auto"/>
          <w:sz w:val="24"/>
          <w:highlight w:val="none"/>
          <w:lang w:val="en-US" w:eastAsia="zh-CN"/>
        </w:rPr>
        <w:t>招标公告</w:t>
      </w:r>
    </w:p>
    <w:p w14:paraId="50FF2533">
      <w:pPr>
        <w:pageBreakBefore w:val="0"/>
        <w:kinsoku/>
        <w:overflowPunct/>
        <w:topLinePunct w:val="0"/>
        <w:bidi w:val="0"/>
        <w:spacing w:line="360" w:lineRule="auto"/>
        <w:ind w:left="0" w:leftChars="0" w:right="0" w:rightChars="0" w:firstLine="840" w:firstLineChars="350"/>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第二章  投标人须知</w:t>
      </w:r>
    </w:p>
    <w:p w14:paraId="48682B57">
      <w:pPr>
        <w:pageBreakBefore w:val="0"/>
        <w:kinsoku/>
        <w:overflowPunct/>
        <w:topLinePunct w:val="0"/>
        <w:bidi w:val="0"/>
        <w:spacing w:line="360" w:lineRule="auto"/>
        <w:ind w:left="0" w:leftChars="0" w:right="0" w:rightChars="0" w:firstLine="840" w:firstLineChars="350"/>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第三章  采购需求</w:t>
      </w:r>
    </w:p>
    <w:p w14:paraId="3321D0B8">
      <w:pPr>
        <w:pageBreakBefore w:val="0"/>
        <w:kinsoku/>
        <w:overflowPunct/>
        <w:topLinePunct w:val="0"/>
        <w:bidi w:val="0"/>
        <w:spacing w:line="360" w:lineRule="auto"/>
        <w:ind w:left="0" w:leftChars="0" w:right="0" w:rightChars="0" w:firstLine="840" w:firstLineChars="350"/>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第四章  评标方法和标准</w:t>
      </w:r>
    </w:p>
    <w:p w14:paraId="506D8111">
      <w:pPr>
        <w:pageBreakBefore w:val="0"/>
        <w:kinsoku/>
        <w:overflowPunct/>
        <w:topLinePunct w:val="0"/>
        <w:bidi w:val="0"/>
        <w:spacing w:line="360" w:lineRule="auto"/>
        <w:ind w:left="0" w:leftChars="0" w:right="0" w:rightChars="0" w:firstLine="840" w:firstLineChars="350"/>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第五章  合同</w:t>
      </w:r>
    </w:p>
    <w:p w14:paraId="1BD372EA">
      <w:pPr>
        <w:pageBreakBefore w:val="0"/>
        <w:kinsoku/>
        <w:overflowPunct/>
        <w:topLinePunct w:val="0"/>
        <w:bidi w:val="0"/>
        <w:spacing w:line="360" w:lineRule="auto"/>
        <w:ind w:left="0" w:leftChars="0" w:right="0" w:rightChars="0" w:firstLine="840" w:firstLineChars="350"/>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第六章  投标文件格式</w:t>
      </w:r>
    </w:p>
    <w:p w14:paraId="4BB85ED0">
      <w:pPr>
        <w:pageBreakBefore w:val="0"/>
        <w:kinsoku/>
        <w:overflowPunct/>
        <w:topLinePunct w:val="0"/>
        <w:bidi w:val="0"/>
        <w:spacing w:line="360" w:lineRule="auto"/>
        <w:ind w:left="0" w:leftChars="0" w:right="0" w:rightChars="0" w:firstLine="840" w:firstLineChars="350"/>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第</w:t>
      </w:r>
      <w:r>
        <w:rPr>
          <w:rFonts w:hint="eastAsia" w:asciiTheme="minorEastAsia" w:hAnsiTheme="minorEastAsia" w:eastAsiaTheme="minorEastAsia" w:cstheme="minorEastAsia"/>
          <w:color w:val="auto"/>
          <w:sz w:val="24"/>
          <w:highlight w:val="none"/>
          <w:lang w:val="en-US" w:eastAsia="zh-CN"/>
        </w:rPr>
        <w:t>七</w:t>
      </w:r>
      <w:r>
        <w:rPr>
          <w:rFonts w:hint="eastAsia" w:asciiTheme="minorEastAsia" w:hAnsiTheme="minorEastAsia" w:eastAsiaTheme="minorEastAsia" w:cstheme="minorEastAsia"/>
          <w:color w:val="auto"/>
          <w:sz w:val="24"/>
          <w:highlight w:val="none"/>
        </w:rPr>
        <w:t>章  询问函和质疑函范本</w:t>
      </w:r>
    </w:p>
    <w:p w14:paraId="05C1C998">
      <w:pPr>
        <w:pageBreakBefore w:val="0"/>
        <w:kinsoku/>
        <w:overflowPunct/>
        <w:topLinePunct w:val="0"/>
        <w:bidi w:val="0"/>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招标文件中有不一致的，有澄清的部分以最终的澄清更正内容为准。</w:t>
      </w:r>
      <w:r>
        <w:rPr>
          <w:rFonts w:hint="eastAsia" w:asciiTheme="minorEastAsia" w:hAnsiTheme="minorEastAsia" w:eastAsiaTheme="minorEastAsia" w:cstheme="minorEastAsia"/>
          <w:color w:val="auto"/>
          <w:sz w:val="24"/>
          <w:highlight w:val="none"/>
          <w:lang w:val="en-US" w:eastAsia="zh-CN"/>
        </w:rPr>
        <w:t>澄清文件属于招标文件的组成部分，具有同等法律效力。</w:t>
      </w:r>
    </w:p>
    <w:p w14:paraId="73A6339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现场考察</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b w:val="0"/>
          <w:bCs/>
          <w:color w:val="auto"/>
          <w:kern w:val="2"/>
          <w:sz w:val="24"/>
          <w:szCs w:val="22"/>
          <w:highlight w:val="none"/>
          <w:lang w:val="en-US" w:eastAsia="zh-CN" w:bidi="ar-SA"/>
        </w:rPr>
        <w:t>标前答疑会</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及相关事项见</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w:t>
      </w:r>
    </w:p>
    <w:p w14:paraId="38C1CB5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投标人应认真阅读招标文件所有的事项、格式、条款和技术规范等。</w:t>
      </w:r>
    </w:p>
    <w:p w14:paraId="5E13559F">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6</w:t>
      </w:r>
      <w:r>
        <w:rPr>
          <w:rFonts w:hint="eastAsia" w:asciiTheme="minorEastAsia" w:hAnsiTheme="minorEastAsia" w:eastAsiaTheme="minorEastAsia" w:cstheme="minorEastAsia"/>
          <w:b/>
          <w:color w:val="auto"/>
          <w:sz w:val="24"/>
          <w:highlight w:val="none"/>
        </w:rPr>
        <w:t>.招标文件的澄清与修改</w:t>
      </w:r>
    </w:p>
    <w:p w14:paraId="1A76792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.1投标人如对招标文件内容有疑问，必须在</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规定的网上询问截止时间前以网上提问形式（电子交易系统）提交给采购代理机构。</w:t>
      </w:r>
    </w:p>
    <w:p w14:paraId="6F5A119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.2采购人可主动地或在</w:t>
      </w:r>
      <w:r>
        <w:rPr>
          <w:rFonts w:hint="eastAsia" w:asciiTheme="minorEastAsia" w:hAnsiTheme="minorEastAsia" w:eastAsiaTheme="minorEastAsia" w:cstheme="minorEastAsia"/>
          <w:color w:val="auto"/>
          <w:sz w:val="24"/>
          <w:highlight w:val="none"/>
          <w:lang w:val="en-US" w:eastAsia="zh-CN"/>
        </w:rPr>
        <w:t>答复</w:t>
      </w:r>
      <w:r>
        <w:rPr>
          <w:rFonts w:hint="eastAsia" w:asciiTheme="minorEastAsia" w:hAnsiTheme="minorEastAsia" w:eastAsiaTheme="minorEastAsia" w:cstheme="minorEastAsia"/>
          <w:color w:val="auto"/>
          <w:sz w:val="24"/>
          <w:highlight w:val="none"/>
        </w:rPr>
        <w:t>投标人提出的</w:t>
      </w:r>
      <w:r>
        <w:rPr>
          <w:rFonts w:hint="eastAsia" w:asciiTheme="minorEastAsia" w:hAnsiTheme="minorEastAsia" w:eastAsiaTheme="minorEastAsia" w:cstheme="minorEastAsia"/>
          <w:color w:val="auto"/>
          <w:sz w:val="24"/>
          <w:highlight w:val="none"/>
          <w:lang w:val="en-US" w:eastAsia="zh-CN"/>
        </w:rPr>
        <w:t>询问</w:t>
      </w:r>
      <w:r>
        <w:rPr>
          <w:rFonts w:hint="eastAsia" w:asciiTheme="minorEastAsia" w:hAnsiTheme="minorEastAsia" w:eastAsiaTheme="minorEastAsia" w:cstheme="minorEastAsia"/>
          <w:color w:val="auto"/>
          <w:sz w:val="24"/>
          <w:highlight w:val="none"/>
        </w:rPr>
        <w:t>时对招标文件进行澄清与修改。采购代理机构将在</w:t>
      </w:r>
      <w:r>
        <w:rPr>
          <w:rFonts w:hint="eastAsia" w:asciiTheme="minorEastAsia" w:hAnsiTheme="minorEastAsia" w:eastAsiaTheme="minorEastAsia" w:cstheme="minorEastAsia"/>
          <w:color w:val="auto"/>
          <w:sz w:val="24"/>
          <w:highlight w:val="none"/>
          <w:lang w:val="en-US" w:eastAsia="zh-CN"/>
        </w:rPr>
        <w:t>原公告发布媒体上</w:t>
      </w:r>
      <w:r>
        <w:rPr>
          <w:rFonts w:hint="eastAsia" w:asciiTheme="minorEastAsia" w:hAnsiTheme="minorEastAsia" w:eastAsiaTheme="minorEastAsia" w:cstheme="minorEastAsia"/>
          <w:color w:val="auto"/>
          <w:sz w:val="24"/>
          <w:highlight w:val="none"/>
        </w:rPr>
        <w:t>以发布更正公告的方式，澄清或修改招标文件，更正公告的内容作为招标文件的组成部分，对投标人起约束作用。投标人应主动上网查询。采购代理机构不承担投标人未及时关注相关信息引发的相关责任。</w:t>
      </w:r>
    </w:p>
    <w:p w14:paraId="1150A8C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.3任何人或任何组织向投标人提供的任何书面或口头资料，未经采购代理机构在网上发布或书面通知，均作</w:t>
      </w:r>
      <w:r>
        <w:rPr>
          <w:rFonts w:hint="eastAsia" w:asciiTheme="minorEastAsia" w:hAnsiTheme="minorEastAsia" w:eastAsiaTheme="minorEastAsia" w:cstheme="minorEastAsia"/>
          <w:b/>
          <w:bCs/>
          <w:color w:val="auto"/>
          <w:sz w:val="24"/>
          <w:highlight w:val="none"/>
        </w:rPr>
        <w:t>无效</w:t>
      </w:r>
      <w:r>
        <w:rPr>
          <w:rFonts w:hint="eastAsia" w:asciiTheme="minorEastAsia" w:hAnsiTheme="minorEastAsia" w:eastAsiaTheme="minorEastAsia" w:cstheme="minorEastAsia"/>
          <w:color w:val="auto"/>
          <w:sz w:val="24"/>
          <w:highlight w:val="none"/>
        </w:rPr>
        <w:t>处理，不得作为招标文件的组成部分。采购代理机构对投标人由此而做出的推论、理解和结论概不负责。</w:t>
      </w:r>
    </w:p>
    <w:p w14:paraId="1D2C1B97">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i/>
          <w:iCs/>
          <w:color w:val="auto"/>
          <w:sz w:val="24"/>
          <w:highlight w:val="none"/>
        </w:rPr>
      </w:pPr>
      <w:r>
        <w:rPr>
          <w:rFonts w:hint="eastAsia" w:asciiTheme="minorEastAsia" w:hAnsiTheme="minorEastAsia" w:eastAsiaTheme="minorEastAsia" w:cstheme="minorEastAsia"/>
          <w:color w:val="auto"/>
          <w:sz w:val="24"/>
          <w:highlight w:val="none"/>
          <w:lang w:val="en-US" w:eastAsia="zh-CN"/>
        </w:rPr>
        <w:t>6</w:t>
      </w:r>
      <w:r>
        <w:rPr>
          <w:rFonts w:hint="eastAsia" w:asciiTheme="minorEastAsia" w:hAnsiTheme="minorEastAsia" w:eastAsiaTheme="minorEastAsia" w:cstheme="minorEastAsia"/>
          <w:color w:val="auto"/>
          <w:sz w:val="24"/>
          <w:highlight w:val="none"/>
        </w:rPr>
        <w:t>.4对于没有提出疑问又参与了本项目投标的投标人将被视为完全认同本招标文件（含更正公告的内容）</w:t>
      </w:r>
      <w:r>
        <w:rPr>
          <w:rFonts w:hint="eastAsia" w:asciiTheme="minorEastAsia" w:hAnsiTheme="minorEastAsia" w:eastAsiaTheme="minorEastAsia" w:cstheme="minorEastAsia"/>
          <w:i/>
          <w:color w:val="auto"/>
          <w:sz w:val="24"/>
          <w:highlight w:val="none"/>
        </w:rPr>
        <w:t>。</w:t>
      </w:r>
    </w:p>
    <w:p w14:paraId="0CAA145E">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7</w:t>
      </w:r>
      <w:r>
        <w:rPr>
          <w:rFonts w:hint="eastAsia" w:asciiTheme="minorEastAsia" w:hAnsiTheme="minorEastAsia" w:eastAsiaTheme="minorEastAsia" w:cstheme="minorEastAsia"/>
          <w:b/>
          <w:color w:val="auto"/>
          <w:sz w:val="24"/>
          <w:highlight w:val="none"/>
        </w:rPr>
        <w:t>.投标范围及投标文件中标准和计量单位的使用</w:t>
      </w:r>
    </w:p>
    <w:p w14:paraId="5E4B107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.1项目有分包的，投标人可对招标文件其中某一个或几个分包进行投标，除非在</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中另有规定。</w:t>
      </w:r>
    </w:p>
    <w:p w14:paraId="18C80CF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.2投标人应当对所投分包招标文件中“采购需求”所列的所有内容进行投标，如仅响应所投包别中的部分内容，其所投包别的投标将被认定为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502B52D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bookmarkStart w:id="103" w:name="_Hlk16458980"/>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.3无论招标文件中是否要求，投标人所投货物</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服务</w:t>
      </w:r>
      <w:r>
        <w:rPr>
          <w:rFonts w:hint="eastAsia" w:asciiTheme="minorEastAsia" w:hAnsiTheme="minorEastAsia" w:eastAsiaTheme="minorEastAsia" w:cstheme="minorEastAsia"/>
          <w:color w:val="auto"/>
          <w:sz w:val="24"/>
          <w:highlight w:val="none"/>
          <w:lang w:val="en-US" w:eastAsia="zh-CN"/>
        </w:rPr>
        <w:t>及</w:t>
      </w:r>
      <w:r>
        <w:rPr>
          <w:rFonts w:hint="eastAsia" w:asciiTheme="minorEastAsia" w:hAnsiTheme="minorEastAsia" w:eastAsiaTheme="minorEastAsia" w:cstheme="minorEastAsia"/>
          <w:color w:val="auto"/>
          <w:sz w:val="24"/>
          <w:highlight w:val="none"/>
        </w:rPr>
        <w:t>工程</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i w:val="0"/>
          <w:iCs w:val="0"/>
          <w:color w:val="auto"/>
          <w:sz w:val="24"/>
          <w:highlight w:val="none"/>
          <w:u w:val="none"/>
          <w:lang w:val="en-US" w:eastAsia="zh-CN"/>
        </w:rPr>
        <w:t>如有</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均应符合国家强制性标准。</w:t>
      </w:r>
    </w:p>
    <w:bookmarkEnd w:id="103"/>
    <w:p w14:paraId="5C5A5B7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76D9F65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rPr>
        <w:t>.5除招标文件中有特殊要求外，投标文件中所使用的计量单位，应采用中华人民共和国法定计量单位。</w:t>
      </w:r>
    </w:p>
    <w:p w14:paraId="267D607A">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8</w:t>
      </w:r>
      <w:r>
        <w:rPr>
          <w:rFonts w:hint="eastAsia" w:asciiTheme="minorEastAsia" w:hAnsiTheme="minorEastAsia" w:eastAsiaTheme="minorEastAsia" w:cstheme="minorEastAsia"/>
          <w:b/>
          <w:color w:val="auto"/>
          <w:sz w:val="24"/>
          <w:highlight w:val="none"/>
        </w:rPr>
        <w:t>.投标文件构成</w:t>
      </w:r>
    </w:p>
    <w:p w14:paraId="6282A7A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w:t>
      </w:r>
      <w:r>
        <w:rPr>
          <w:rFonts w:hint="eastAsia" w:asciiTheme="minorEastAsia" w:hAnsiTheme="minorEastAsia" w:eastAsiaTheme="minorEastAsia" w:cstheme="minorEastAsia"/>
          <w:color w:val="auto"/>
          <w:sz w:val="24"/>
          <w:highlight w:val="none"/>
        </w:rPr>
        <w:t>.1投标人应完整地按招标文件提供的投标文件格式及要求编写投标文件，具体内容详见本项目投标文件格式的相关内容。</w:t>
      </w:r>
    </w:p>
    <w:p w14:paraId="4511A627">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8.2</w:t>
      </w:r>
      <w:r>
        <w:rPr>
          <w:rFonts w:hint="eastAsia" w:asciiTheme="minorEastAsia" w:hAnsiTheme="minorEastAsia" w:eastAsiaTheme="minorEastAsia" w:cstheme="minorEastAsia"/>
          <w:color w:val="auto"/>
          <w:sz w:val="24"/>
          <w:highlight w:val="none"/>
        </w:rPr>
        <w:t>投标人应提交招标文件要求的证明文件，证明其投标内容符合招标文件规定</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该证明文件是投标文件的一部分</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证明文件</w:t>
      </w:r>
      <w:r>
        <w:rPr>
          <w:rFonts w:hint="eastAsia" w:asciiTheme="minorEastAsia" w:hAnsiTheme="minorEastAsia" w:eastAsiaTheme="minorEastAsia" w:cstheme="minorEastAsia"/>
          <w:color w:val="auto"/>
          <w:sz w:val="24"/>
          <w:highlight w:val="none"/>
          <w:lang w:val="en-US" w:eastAsia="zh-CN"/>
        </w:rPr>
        <w:t>形式</w:t>
      </w:r>
      <w:r>
        <w:rPr>
          <w:rFonts w:hint="eastAsia" w:asciiTheme="minorEastAsia" w:hAnsiTheme="minorEastAsia" w:eastAsiaTheme="minorEastAsia" w:cstheme="minorEastAsia"/>
          <w:color w:val="auto"/>
          <w:sz w:val="24"/>
          <w:highlight w:val="none"/>
        </w:rPr>
        <w:t>可以是文字资料、图纸和数据</w:t>
      </w:r>
      <w:bookmarkStart w:id="104" w:name="_Hlk11703583"/>
      <w:r>
        <w:rPr>
          <w:rFonts w:hint="eastAsia" w:asciiTheme="minorEastAsia" w:hAnsiTheme="minorEastAsia" w:eastAsiaTheme="minorEastAsia" w:cstheme="minorEastAsia"/>
          <w:color w:val="auto"/>
          <w:sz w:val="24"/>
          <w:highlight w:val="none"/>
          <w:lang w:val="en-US" w:eastAsia="zh-CN"/>
        </w:rPr>
        <w:t>等。</w:t>
      </w:r>
    </w:p>
    <w:bookmarkEnd w:id="104"/>
    <w:p w14:paraId="3D7444E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8.3</w:t>
      </w:r>
      <w:r>
        <w:rPr>
          <w:rFonts w:hint="eastAsia" w:asciiTheme="minorEastAsia" w:hAnsiTheme="minorEastAsia" w:eastAsiaTheme="minorEastAsia" w:cstheme="minorEastAsia"/>
          <w:color w:val="auto"/>
          <w:sz w:val="24"/>
          <w:highlight w:val="none"/>
        </w:rPr>
        <w:t>为保证公平公正，除非另有规定或说明，投标人对同一项目投标时，不得同时提供备选投标方案。</w:t>
      </w:r>
    </w:p>
    <w:p w14:paraId="1E6FD4FC">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9</w:t>
      </w:r>
      <w:r>
        <w:rPr>
          <w:rFonts w:hint="eastAsia" w:asciiTheme="minorEastAsia" w:hAnsiTheme="minorEastAsia" w:eastAsiaTheme="minorEastAsia" w:cstheme="minorEastAsia"/>
          <w:b/>
          <w:color w:val="auto"/>
          <w:sz w:val="24"/>
          <w:highlight w:val="none"/>
        </w:rPr>
        <w:t>.投标报价</w:t>
      </w:r>
    </w:p>
    <w:p w14:paraId="3F81B29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.1投标人的报价应当包括满足本次招标全部采购需求。</w:t>
      </w:r>
      <w:r>
        <w:rPr>
          <w:rFonts w:hint="eastAsia" w:asciiTheme="minorEastAsia" w:hAnsiTheme="minorEastAsia" w:eastAsiaTheme="minorEastAsia" w:cstheme="minorEastAsia"/>
          <w:color w:val="auto"/>
          <w:sz w:val="24"/>
          <w:highlight w:val="none"/>
          <w:lang w:val="en-US" w:eastAsia="zh-CN"/>
        </w:rPr>
        <w:t>除招标文件另有规定外，</w:t>
      </w:r>
      <w:r>
        <w:rPr>
          <w:rFonts w:hint="eastAsia" w:asciiTheme="minorEastAsia" w:hAnsiTheme="minorEastAsia" w:eastAsiaTheme="minorEastAsia" w:cstheme="minorEastAsia"/>
          <w:color w:val="auto"/>
          <w:sz w:val="24"/>
          <w:highlight w:val="none"/>
        </w:rPr>
        <w:t>所有投标均应以人民币报价。投标人的投标报价应遵守《中华人民共和国价格法》。</w:t>
      </w:r>
    </w:p>
    <w:p w14:paraId="2B5DFFB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.2投标人应在投标分项报价表上标明投标货物及相关服务的单价（如适用）和总价。未标明的视同包含在投标报价中。投标人报价超过招标文件规定的预算金额或者分项、分包最高限价，其投标将被认定为</w:t>
      </w:r>
      <w:r>
        <w:rPr>
          <w:rFonts w:hint="eastAsia" w:asciiTheme="minorEastAsia" w:hAnsiTheme="minorEastAsia" w:eastAsiaTheme="minorEastAsia" w:cstheme="minorEastAsia"/>
          <w:b/>
          <w:bCs/>
          <w:color w:val="auto"/>
          <w:sz w:val="24"/>
          <w:highlight w:val="none"/>
        </w:rPr>
        <w:t>投标无效</w:t>
      </w:r>
      <w:r>
        <w:rPr>
          <w:rFonts w:hint="eastAsia" w:asciiTheme="minorEastAsia" w:hAnsiTheme="minorEastAsia" w:eastAsiaTheme="minorEastAsia" w:cstheme="minorEastAsia"/>
          <w:color w:val="auto"/>
          <w:sz w:val="24"/>
          <w:highlight w:val="none"/>
        </w:rPr>
        <w:t>。</w:t>
      </w:r>
    </w:p>
    <w:p w14:paraId="7DF326E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投标报价在合同履行过程中是固定不变的，不得以任何理由予以变更。任何包含价格调整要求的投标，其投标将被认定为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3547751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评标委员会认为投标人的报价明显低于其他通过符合性审查投标人的报价，有可能影响产品质量或者不能诚信履约的，应当要求其在合理的时间内提供书面说明，必要时提交相关证明材料；投标人不能证明其报价合理性的，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14922E4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rPr>
        <w:t>采购人不接受具有附加条件的报价。</w:t>
      </w:r>
    </w:p>
    <w:p w14:paraId="5EBF8CA5">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w:t>
      </w:r>
      <w:r>
        <w:rPr>
          <w:rFonts w:hint="eastAsia" w:asciiTheme="minorEastAsia" w:hAnsiTheme="minorEastAsia" w:eastAsiaTheme="minorEastAsia" w:cstheme="minorEastAsia"/>
          <w:b/>
          <w:color w:val="auto"/>
          <w:sz w:val="24"/>
          <w:highlight w:val="none"/>
          <w:lang w:val="en-US" w:eastAsia="zh-CN"/>
        </w:rPr>
        <w:t>0</w:t>
      </w:r>
      <w:r>
        <w:rPr>
          <w:rFonts w:hint="eastAsia" w:asciiTheme="minorEastAsia" w:hAnsiTheme="minorEastAsia" w:eastAsiaTheme="minorEastAsia" w:cstheme="minorEastAsia"/>
          <w:b/>
          <w:color w:val="auto"/>
          <w:sz w:val="24"/>
          <w:highlight w:val="none"/>
        </w:rPr>
        <w:t>.投标保证金</w:t>
      </w:r>
    </w:p>
    <w:p w14:paraId="42D6B02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0</w:t>
      </w:r>
      <w:r>
        <w:rPr>
          <w:rFonts w:hint="eastAsia" w:asciiTheme="minorEastAsia" w:hAnsiTheme="minorEastAsia" w:eastAsiaTheme="minorEastAsia" w:cstheme="minorEastAsia"/>
          <w:color w:val="auto"/>
          <w:sz w:val="24"/>
          <w:highlight w:val="none"/>
        </w:rPr>
        <w:t>.1本项目不收取投标保证金。</w:t>
      </w:r>
    </w:p>
    <w:p w14:paraId="7AE91A6A">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w:t>
      </w:r>
      <w:r>
        <w:rPr>
          <w:rFonts w:hint="eastAsia" w:asciiTheme="minorEastAsia" w:hAnsiTheme="minorEastAsia" w:eastAsiaTheme="minorEastAsia" w:cstheme="minorEastAsia"/>
          <w:b/>
          <w:color w:val="auto"/>
          <w:sz w:val="24"/>
          <w:highlight w:val="none"/>
          <w:lang w:val="en-US" w:eastAsia="zh-CN"/>
        </w:rPr>
        <w:t>1</w:t>
      </w:r>
      <w:r>
        <w:rPr>
          <w:rFonts w:hint="eastAsia" w:asciiTheme="minorEastAsia" w:hAnsiTheme="minorEastAsia" w:eastAsiaTheme="minorEastAsia" w:cstheme="minorEastAsia"/>
          <w:b/>
          <w:color w:val="auto"/>
          <w:sz w:val="24"/>
          <w:highlight w:val="none"/>
        </w:rPr>
        <w:t>.投标有效期</w:t>
      </w:r>
    </w:p>
    <w:p w14:paraId="3AF3EB1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.1投标有效期为从投标截止之日算起的日历天数，投标有效期详见</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w:t>
      </w:r>
    </w:p>
    <w:p w14:paraId="6D09F6A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1482F7D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7772985">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w:t>
      </w:r>
      <w:r>
        <w:rPr>
          <w:rFonts w:hint="eastAsia" w:asciiTheme="minorEastAsia" w:hAnsiTheme="minorEastAsia" w:eastAsiaTheme="minorEastAsia" w:cstheme="minorEastAsia"/>
          <w:b/>
          <w:color w:val="auto"/>
          <w:sz w:val="24"/>
          <w:highlight w:val="none"/>
          <w:lang w:val="en-US" w:eastAsia="zh-CN"/>
        </w:rPr>
        <w:t>2</w:t>
      </w:r>
      <w:r>
        <w:rPr>
          <w:rFonts w:hint="eastAsia" w:asciiTheme="minorEastAsia" w:hAnsiTheme="minorEastAsia" w:eastAsiaTheme="minorEastAsia" w:cstheme="minorEastAsia"/>
          <w:b/>
          <w:color w:val="auto"/>
          <w:sz w:val="24"/>
          <w:highlight w:val="none"/>
        </w:rPr>
        <w:t>.投标文件的递交、修改与撤回</w:t>
      </w:r>
    </w:p>
    <w:p w14:paraId="6D309FF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.1投标人应当在</w:t>
      </w:r>
      <w:r>
        <w:rPr>
          <w:rFonts w:hint="eastAsia" w:asciiTheme="minorEastAsia" w:hAnsiTheme="minorEastAsia" w:eastAsiaTheme="minorEastAsia" w:cstheme="minorEastAsia"/>
          <w:color w:val="auto"/>
          <w:sz w:val="24"/>
          <w:highlight w:val="none"/>
          <w:lang w:val="en-US" w:eastAsia="zh-CN"/>
        </w:rPr>
        <w:t>招标公告</w:t>
      </w:r>
      <w:r>
        <w:rPr>
          <w:rFonts w:hint="eastAsia" w:asciiTheme="minorEastAsia" w:hAnsiTheme="minorEastAsia" w:eastAsiaTheme="minorEastAsia" w:cstheme="minorEastAsia"/>
          <w:color w:val="auto"/>
          <w:sz w:val="24"/>
          <w:highlight w:val="none"/>
        </w:rPr>
        <w:t>规定的投标截止时间前，将加密的投标文件在电子交易系统上传。</w:t>
      </w:r>
    </w:p>
    <w:p w14:paraId="566A416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2投标人应当在投标截止时间前完成投标文件的传输递交，并可以补充、修改或者撤回投标文件。投标截止时间前未完成投标文件传输的，视为撤回投标文件。未按规定加密或投标截止时间后送达的投标文件，电子交易系统应当拒收。</w:t>
      </w:r>
    </w:p>
    <w:p w14:paraId="09F80E09">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w:t>
      </w:r>
      <w:r>
        <w:rPr>
          <w:rFonts w:hint="eastAsia" w:asciiTheme="minorEastAsia" w:hAnsiTheme="minorEastAsia" w:eastAsiaTheme="minorEastAsia" w:cstheme="minorEastAsia"/>
          <w:b/>
          <w:color w:val="auto"/>
          <w:sz w:val="24"/>
          <w:highlight w:val="none"/>
          <w:lang w:val="en-US" w:eastAsia="zh-CN"/>
        </w:rPr>
        <w:t>3</w:t>
      </w:r>
      <w:r>
        <w:rPr>
          <w:rFonts w:hint="eastAsia" w:asciiTheme="minorEastAsia" w:hAnsiTheme="minorEastAsia" w:eastAsiaTheme="minorEastAsia" w:cstheme="minorEastAsia"/>
          <w:b/>
          <w:color w:val="auto"/>
          <w:sz w:val="24"/>
          <w:highlight w:val="none"/>
        </w:rPr>
        <w:t>.开标</w:t>
      </w:r>
    </w:p>
    <w:p w14:paraId="4FE97F2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开标时，</w:t>
      </w:r>
      <w:r>
        <w:rPr>
          <w:rFonts w:hint="eastAsia" w:asciiTheme="minorEastAsia" w:hAnsiTheme="minorEastAsia" w:eastAsiaTheme="minorEastAsia" w:cstheme="minorEastAsia"/>
          <w:color w:val="auto"/>
          <w:sz w:val="24"/>
          <w:szCs w:val="24"/>
          <w:highlight w:val="none"/>
        </w:rPr>
        <w:t>各投标人应在</w:t>
      </w:r>
      <w:r>
        <w:rPr>
          <w:rFonts w:hint="eastAsia" w:asciiTheme="minorEastAsia" w:hAnsiTheme="minorEastAsia" w:eastAsiaTheme="minorEastAsia" w:cstheme="minorEastAsia"/>
          <w:color w:val="auto"/>
          <w:sz w:val="24"/>
          <w:szCs w:val="24"/>
          <w:highlight w:val="none"/>
          <w:u w:val="single"/>
        </w:rPr>
        <w:t>投标人须知前附表</w:t>
      </w:r>
      <w:r>
        <w:rPr>
          <w:rFonts w:hint="eastAsia" w:asciiTheme="minorEastAsia" w:hAnsiTheme="minorEastAsia" w:eastAsiaTheme="minorEastAsia" w:cstheme="minorEastAsia"/>
          <w:color w:val="auto"/>
          <w:sz w:val="24"/>
          <w:szCs w:val="24"/>
          <w:highlight w:val="none"/>
        </w:rPr>
        <w:t>规定的解密时间前</w:t>
      </w:r>
      <w:r>
        <w:rPr>
          <w:rFonts w:hint="eastAsia" w:asciiTheme="minorEastAsia" w:hAnsiTheme="minorEastAsia" w:eastAsiaTheme="minorEastAsia" w:cstheme="minorEastAsia"/>
          <w:color w:val="auto"/>
          <w:sz w:val="24"/>
          <w:highlight w:val="none"/>
        </w:rPr>
        <w:t>对</w:t>
      </w:r>
      <w:r>
        <w:rPr>
          <w:rFonts w:hint="eastAsia" w:asciiTheme="minorEastAsia" w:hAnsiTheme="minorEastAsia" w:eastAsiaTheme="minorEastAsia" w:cstheme="minorEastAsia"/>
          <w:color w:val="auto"/>
          <w:sz w:val="24"/>
          <w:szCs w:val="24"/>
          <w:highlight w:val="none"/>
          <w:lang w:val="en-US" w:eastAsia="zh-CN"/>
        </w:rPr>
        <w:t>其</w:t>
      </w:r>
      <w:r>
        <w:rPr>
          <w:rFonts w:hint="eastAsia" w:asciiTheme="minorEastAsia" w:hAnsiTheme="minorEastAsia" w:eastAsiaTheme="minorEastAsia" w:cstheme="minorEastAsia"/>
          <w:color w:val="auto"/>
          <w:sz w:val="24"/>
          <w:highlight w:val="none"/>
        </w:rPr>
        <w:t>投标文件进行解密。</w:t>
      </w:r>
    </w:p>
    <w:p w14:paraId="5DDB80E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开标时，采购代理机构将通过网上开标系统公布开标结果，公布内容包括投标人名称、投标价格及招标文件规定的内容。</w:t>
      </w:r>
    </w:p>
    <w:p w14:paraId="11602BE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13.3开标过程按照盛唐集团招标采购交易平台确定的流程顺序进行，开标记录通过盛唐集团招标采购交易平台进行记录，并存档备查，投标人应委派代表远程参加整个开标过程，投标人未派代表参加开标的，视同投标人认可开标结果。</w:t>
      </w:r>
    </w:p>
    <w:p w14:paraId="1DCCA70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8"/>
          <w:highlight w:val="none"/>
        </w:rPr>
      </w:pPr>
      <w:r>
        <w:rPr>
          <w:rFonts w:hint="eastAsia" w:asciiTheme="minorEastAsia" w:hAnsiTheme="minorEastAsia" w:eastAsiaTheme="minorEastAsia" w:cstheme="minorEastAsia"/>
          <w:color w:val="auto"/>
          <w:sz w:val="24"/>
          <w:highlight w:val="none"/>
          <w:lang w:val="en-US" w:eastAsia="zh-CN"/>
        </w:rPr>
        <w:t>13.4投标人代表对开标过程和开标记录有疑义，以及认为采购人、采购代理机构相关工作人员有需要回避的情形的，应在开标结束前通过盛唐集团招标采购交易平台提出询问或者回避申请。</w:t>
      </w:r>
    </w:p>
    <w:p w14:paraId="05F466D7">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w:t>
      </w:r>
      <w:r>
        <w:rPr>
          <w:rFonts w:hint="eastAsia" w:asciiTheme="minorEastAsia" w:hAnsiTheme="minorEastAsia" w:eastAsiaTheme="minorEastAsia" w:cstheme="minorEastAsia"/>
          <w:b/>
          <w:color w:val="auto"/>
          <w:sz w:val="24"/>
          <w:highlight w:val="none"/>
          <w:lang w:val="en-US" w:eastAsia="zh-CN"/>
        </w:rPr>
        <w:t>4</w:t>
      </w:r>
      <w:r>
        <w:rPr>
          <w:rFonts w:hint="eastAsia" w:asciiTheme="minorEastAsia" w:hAnsiTheme="minorEastAsia" w:eastAsiaTheme="minorEastAsia" w:cstheme="minorEastAsia"/>
          <w:b/>
          <w:color w:val="auto"/>
          <w:sz w:val="24"/>
          <w:highlight w:val="none"/>
        </w:rPr>
        <w:t>.资格审查及组建评标委员会</w:t>
      </w:r>
    </w:p>
    <w:p w14:paraId="16A11F3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.1采购人或采购代理机构依据法律法规和招标文件中规定的内容，对投标人资格进行审查，未通过资格审查的投标人不进入评标。</w:t>
      </w:r>
    </w:p>
    <w:p w14:paraId="0C05C38D">
      <w:pPr>
        <w:pageBreakBefore w:val="0"/>
        <w:kinsoku/>
        <w:overflowPunct/>
        <w:topLinePunct w:val="0"/>
        <w:bidi w:val="0"/>
        <w:spacing w:line="360" w:lineRule="auto"/>
        <w:ind w:left="479" w:leftChars="228" w:right="0" w:rightChars="0" w:firstLine="16" w:firstLineChars="7"/>
        <w:textAlignment w:val="auto"/>
        <w:rPr>
          <w:rFonts w:hint="eastAsia" w:asciiTheme="minorEastAsia" w:hAnsiTheme="minorEastAsia" w:eastAsiaTheme="minorEastAsia" w:cstheme="minorEastAsia"/>
          <w:color w:val="auto"/>
          <w:sz w:val="24"/>
          <w:szCs w:val="24"/>
          <w:highlight w:val="none"/>
        </w:rPr>
      </w:pPr>
      <w:bookmarkStart w:id="105" w:name="_Hlk24663244"/>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投标人</w:t>
      </w:r>
      <w:r>
        <w:rPr>
          <w:rFonts w:hint="eastAsia" w:asciiTheme="minorEastAsia" w:hAnsiTheme="minorEastAsia" w:eastAsiaTheme="minorEastAsia" w:cstheme="minorEastAsia"/>
          <w:color w:val="auto"/>
          <w:sz w:val="24"/>
          <w:szCs w:val="24"/>
          <w:highlight w:val="none"/>
        </w:rPr>
        <w:t>（包括联合体各成员）不得存在下列情形之一：</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（1）为本采购项目的采购代理机构；</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（2）为采购人不具有独立法人资格的附属机构；</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（3）与采购人存在利害关系且可能影响采购公正性；</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（4）由本采购项目采购代理机构代理参加采购活动，或者接受过本采购项目的采购代理机构为本采购项目提供咨询的；</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（5）被责令停产停业、暂扣或者吊销许可证、暂扣或者吊销执照；</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（6）进入清算程序，或被宣告破产，或其他丧失履约能力的情形；</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（7）与本项目其他供应商的单位负责人为同一人或者存在直接控股、管理关系的；</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（8）被依法禁止参加采购活动并在有效期内的；</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9）为采购项目提供整体设计、规范编制或者项目管理、监理、检测等服务的，不得再参加该采购项目的其他采购活动，具体按《关于〈中华人民共和国政府采购法实施条例〉第十八条第二款法律适用的函》（财办库〔2015〕295号）文件规定；</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（10）被人民法院列入失信被执行人名单的</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通过信用中国网站</w:t>
      </w:r>
      <w:r>
        <w:rPr>
          <w:rFonts w:hint="eastAsia" w:asciiTheme="minorEastAsia" w:hAnsiTheme="minorEastAsia" w:eastAsiaTheme="minorEastAsia" w:cstheme="minorEastAsia"/>
          <w:color w:val="auto"/>
          <w:sz w:val="24"/>
          <w:szCs w:val="24"/>
          <w:highlight w:val="none"/>
        </w:rPr>
        <w:t>(www.creditchina.gov.cn)</w:t>
      </w:r>
      <w:r>
        <w:rPr>
          <w:rFonts w:hint="eastAsia" w:asciiTheme="minorEastAsia" w:hAnsiTheme="minorEastAsia" w:eastAsiaTheme="minorEastAsia" w:cstheme="minorEastAsia"/>
          <w:color w:val="auto"/>
          <w:sz w:val="24"/>
          <w:szCs w:val="24"/>
          <w:highlight w:val="none"/>
          <w:lang w:val="en-US" w:eastAsia="zh-CN"/>
        </w:rPr>
        <w:t>查询相关信息</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（11）被税务机关列入重大税收违法失信主体名单的</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通过信用中国网站</w:t>
      </w:r>
      <w:r>
        <w:rPr>
          <w:rFonts w:hint="eastAsia" w:asciiTheme="minorEastAsia" w:hAnsiTheme="minorEastAsia" w:eastAsiaTheme="minorEastAsia" w:cstheme="minorEastAsia"/>
          <w:color w:val="auto"/>
          <w:sz w:val="24"/>
          <w:szCs w:val="24"/>
          <w:highlight w:val="none"/>
        </w:rPr>
        <w:t>(www.creditchina.gov.cn)</w:t>
      </w:r>
      <w:r>
        <w:rPr>
          <w:rFonts w:hint="eastAsia" w:asciiTheme="minorEastAsia" w:hAnsiTheme="minorEastAsia" w:eastAsiaTheme="minorEastAsia" w:cstheme="minorEastAsia"/>
          <w:color w:val="auto"/>
          <w:sz w:val="24"/>
          <w:szCs w:val="24"/>
          <w:highlight w:val="none"/>
          <w:lang w:val="en-US" w:eastAsia="zh-CN"/>
        </w:rPr>
        <w:t>查询相关信息</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（12）被财政部门列入政府采购严重违法失信行为记录名单的</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通过</w:t>
      </w:r>
      <w:r>
        <w:rPr>
          <w:rFonts w:hint="eastAsia" w:asciiTheme="minorEastAsia" w:hAnsiTheme="minorEastAsia" w:eastAsiaTheme="minorEastAsia" w:cstheme="minorEastAsia"/>
          <w:color w:val="auto"/>
          <w:sz w:val="24"/>
          <w:szCs w:val="24"/>
          <w:highlight w:val="none"/>
        </w:rPr>
        <w:t>中国政府采购网(www.ccgp.gov.cn)</w:t>
      </w:r>
      <w:r>
        <w:rPr>
          <w:rFonts w:hint="eastAsia" w:asciiTheme="minorEastAsia" w:hAnsiTheme="minorEastAsia" w:eastAsiaTheme="minorEastAsia" w:cstheme="minorEastAsia"/>
          <w:color w:val="auto"/>
          <w:sz w:val="24"/>
          <w:szCs w:val="24"/>
          <w:highlight w:val="none"/>
          <w:lang w:val="en-US" w:eastAsia="zh-CN"/>
        </w:rPr>
        <w:t>查询相关信息</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（13）被市场监督管理部门列入严重违法失信名单的；</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（14）法律法规规定的其他情形；</w:t>
      </w:r>
      <w:r>
        <w:rPr>
          <w:rFonts w:hint="eastAsia" w:asciiTheme="minorEastAsia" w:hAnsiTheme="minorEastAsia" w:eastAsiaTheme="minorEastAsia" w:cstheme="minorEastAsia"/>
          <w:color w:val="auto"/>
          <w:sz w:val="24"/>
          <w:szCs w:val="24"/>
          <w:highlight w:val="none"/>
        </w:rPr>
        <w:br w:type="textWrapping"/>
      </w:r>
      <w:r>
        <w:rPr>
          <w:rFonts w:hint="eastAsia" w:asciiTheme="minorEastAsia" w:hAnsiTheme="minorEastAsia" w:eastAsiaTheme="minorEastAsia" w:cstheme="minorEastAsia"/>
          <w:color w:val="auto"/>
          <w:sz w:val="24"/>
          <w:szCs w:val="24"/>
          <w:highlight w:val="none"/>
        </w:rPr>
        <w:t>（15）</w:t>
      </w:r>
      <w:r>
        <w:rPr>
          <w:rFonts w:hint="eastAsia" w:asciiTheme="minorEastAsia" w:hAnsiTheme="minorEastAsia" w:eastAsiaTheme="minorEastAsia" w:cstheme="minorEastAsia"/>
          <w:color w:val="auto"/>
          <w:sz w:val="24"/>
          <w:szCs w:val="24"/>
          <w:highlight w:val="none"/>
          <w:lang w:eastAsia="zh-CN"/>
        </w:rPr>
        <w:t>投标人须知</w:t>
      </w:r>
      <w:r>
        <w:rPr>
          <w:rFonts w:hint="eastAsia" w:asciiTheme="minorEastAsia" w:hAnsiTheme="minorEastAsia" w:eastAsiaTheme="minorEastAsia" w:cstheme="minorEastAsia"/>
          <w:color w:val="auto"/>
          <w:sz w:val="24"/>
          <w:szCs w:val="24"/>
          <w:highlight w:val="none"/>
        </w:rPr>
        <w:t>前附表规定的其他情形。</w:t>
      </w:r>
    </w:p>
    <w:p w14:paraId="4FFA4AF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以联合体方式参加采购活动的，联合体任一成员不得存在以上情形。。</w:t>
      </w:r>
    </w:p>
    <w:p w14:paraId="4E6E165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以上</w:t>
      </w:r>
      <w:r>
        <w:rPr>
          <w:rFonts w:hint="eastAsia" w:asciiTheme="minorEastAsia" w:hAnsiTheme="minorEastAsia" w:eastAsiaTheme="minorEastAsia" w:cstheme="minorEastAsia"/>
          <w:color w:val="auto"/>
          <w:sz w:val="24"/>
          <w:szCs w:val="24"/>
          <w:highlight w:val="none"/>
          <w:lang w:val="en-US" w:eastAsia="zh-CN"/>
        </w:rPr>
        <w:t>涉及</w:t>
      </w:r>
      <w:r>
        <w:rPr>
          <w:rFonts w:hint="eastAsia" w:asciiTheme="minorEastAsia" w:hAnsiTheme="minorEastAsia" w:eastAsiaTheme="minorEastAsia" w:cstheme="minorEastAsia"/>
          <w:color w:val="auto"/>
          <w:sz w:val="24"/>
          <w:szCs w:val="24"/>
          <w:highlight w:val="none"/>
        </w:rPr>
        <w:t>信用查询记录</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rPr>
        <w:t>，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105"/>
    <w:p w14:paraId="35E1647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.3按照《中华人民共和国政府采购法》、《中华人民共和国政府采购法实施条例》及本项目本级和上级财政部门、政府采购监督管理部门的有关规定依法组建的评标委员会，负责本项目评标工作。</w:t>
      </w:r>
    </w:p>
    <w:p w14:paraId="63F65082">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15</w:t>
      </w:r>
      <w:r>
        <w:rPr>
          <w:rFonts w:hint="eastAsia" w:asciiTheme="minorEastAsia" w:hAnsiTheme="minorEastAsia" w:eastAsiaTheme="minorEastAsia" w:cstheme="minorEastAsia"/>
          <w:b/>
          <w:color w:val="auto"/>
          <w:sz w:val="24"/>
          <w:highlight w:val="none"/>
        </w:rPr>
        <w:t>.投标文件符合性审查与澄清</w:t>
      </w:r>
    </w:p>
    <w:p w14:paraId="15F9085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15</w:t>
      </w:r>
      <w:r>
        <w:rPr>
          <w:rFonts w:hint="eastAsia" w:asciiTheme="minorEastAsia" w:hAnsiTheme="minorEastAsia" w:eastAsiaTheme="minorEastAsia" w:cstheme="minorEastAsia"/>
          <w:color w:val="auto"/>
          <w:sz w:val="24"/>
          <w:highlight w:val="none"/>
        </w:rPr>
        <w:t>.1符合性审查是指依据招标文件的规定，从投标文件的有效性和完整性对招标文件的响应程度进行审查，以确定是否对招标文件的实质性要求做出响应。</w:t>
      </w:r>
    </w:p>
    <w:p w14:paraId="1D55889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15</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投标文件的澄清</w:t>
      </w:r>
    </w:p>
    <w:p w14:paraId="1FCB85C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15</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1为有助于投标文件的审查、评价和比较，在评标期间，评标委员会将以书面方式（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书面方式进行，并不得超出投标文件范围或者改变投标文件的实质性内容。</w:t>
      </w:r>
    </w:p>
    <w:p w14:paraId="5C0E8C0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5FAD5E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15.</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.2投标人的澄清、说明或补正将作为投标文件的一部分。</w:t>
      </w:r>
    </w:p>
    <w:p w14:paraId="6AEF398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15.</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.3评标委员会对投标人提交的澄清、说明或补正有疑问的，可以要求投标人进一步澄清、说明或补正，直至满足评标委员会的要求。</w:t>
      </w:r>
    </w:p>
    <w:p w14:paraId="4A8BC37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15.</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投标文件报价出现前后不一致的，按照下列规定修正：</w:t>
      </w:r>
    </w:p>
    <w:p w14:paraId="6BBF305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（1）投标文件中开标一览表内容与投标文件中相应内容不一致的，以开标一览表为准；</w:t>
      </w:r>
    </w:p>
    <w:p w14:paraId="7D9BCC5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（2）大写金额和小写金额不一致的，以大写金额为准；</w:t>
      </w:r>
    </w:p>
    <w:p w14:paraId="018344C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（3）单价金额小数点或者百分比有明显错位的，以开标一览表的总价为准，并修改单价；</w:t>
      </w:r>
    </w:p>
    <w:p w14:paraId="30D8F58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（4）总价金额与按单价汇总金额不一致的，以单价金额计算结果为准。</w:t>
      </w:r>
    </w:p>
    <w:p w14:paraId="51401F5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同时出现两种以上不一致的，按照前款规定的顺序修正。修正后的报价按照第</w:t>
      </w:r>
      <w:r>
        <w:rPr>
          <w:rFonts w:hint="eastAsia" w:asciiTheme="minorEastAsia" w:hAnsiTheme="minorEastAsia" w:eastAsiaTheme="minorEastAsia" w:cstheme="minorEastAsia"/>
          <w:color w:val="auto"/>
          <w:sz w:val="24"/>
          <w:highlight w:val="none"/>
          <w:lang w:eastAsia="zh-CN"/>
        </w:rPr>
        <w:t>15.</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条的规定经投标人确认后产生约束力，投标人不确认的，其投标将被认定为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0932570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对不同文字文本投标文件的解释发生异议的，以中文文本为准。</w:t>
      </w:r>
    </w:p>
    <w:p w14:paraId="0F2669C9">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eastAsia="zh-CN"/>
        </w:rPr>
        <w:t>16.</w:t>
      </w:r>
      <w:r>
        <w:rPr>
          <w:rFonts w:hint="eastAsia" w:asciiTheme="minorEastAsia" w:hAnsiTheme="minorEastAsia" w:eastAsiaTheme="minorEastAsia" w:cstheme="minorEastAsia"/>
          <w:b/>
          <w:color w:val="auto"/>
          <w:sz w:val="24"/>
          <w:highlight w:val="none"/>
        </w:rPr>
        <w:t>投标无效</w:t>
      </w:r>
    </w:p>
    <w:p w14:paraId="6157F05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16.</w:t>
      </w:r>
      <w:r>
        <w:rPr>
          <w:rFonts w:hint="eastAsia" w:asciiTheme="minorEastAsia" w:hAnsiTheme="minorEastAsia" w:eastAsiaTheme="minorEastAsia" w:cstheme="minorEastAsia"/>
          <w:color w:val="auto"/>
          <w:sz w:val="24"/>
          <w:highlight w:val="none"/>
        </w:rPr>
        <w:t>1根据本招标文件的规定，评标委员会要审查每份投标文件是否实质上响应了招标文件的要求。投标人不得通过修正或撤销不符合要求的偏离，从而使其投标成为实质上响应的投标。</w:t>
      </w:r>
    </w:p>
    <w:p w14:paraId="09026EA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评标委员会决定投标的响应性只根据招标文件要求和投标文件内容。投标文件有下列情形，但其他方面符合要求，应当认定通过资格性、符合性审查：</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（1）文件排序等非实质性的格式、形式问题；</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（2）因签章地方的当前页面签章位置偏移；</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（3）除招标文件规定要求加盖投标供应商等公章以外，其他未盖章的；</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（4）投标文件有明显书写错误的；</w:t>
      </w:r>
      <w:r>
        <w:rPr>
          <w:rFonts w:hint="eastAsia" w:asciiTheme="minorEastAsia" w:hAnsiTheme="minorEastAsia" w:eastAsiaTheme="minorEastAsia" w:cstheme="minorEastAsia"/>
          <w:color w:val="auto"/>
          <w:sz w:val="24"/>
          <w:highlight w:val="none"/>
        </w:rPr>
        <w:br w:type="textWrapping"/>
      </w: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（5）除招标文件规定要求法定代表人或授权代表签字以外，其他未签字的。</w:t>
      </w:r>
    </w:p>
    <w:p w14:paraId="1B570BC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无论何种原因，即使投标人投标时携带了证书材料的原件，但投标文件中未提供与之内容完全一致的</w:t>
      </w:r>
      <w:r>
        <w:rPr>
          <w:rFonts w:hint="eastAsia" w:asciiTheme="minorEastAsia" w:hAnsiTheme="minorEastAsia" w:eastAsiaTheme="minorEastAsia" w:cstheme="minorEastAsia"/>
          <w:color w:val="auto"/>
          <w:sz w:val="24"/>
          <w:highlight w:val="none"/>
          <w:lang w:eastAsia="zh-CN"/>
        </w:rPr>
        <w:t>复制件</w:t>
      </w:r>
      <w:r>
        <w:rPr>
          <w:rFonts w:hint="eastAsia" w:asciiTheme="minorEastAsia" w:hAnsiTheme="minorEastAsia" w:eastAsiaTheme="minorEastAsia" w:cstheme="minorEastAsia"/>
          <w:color w:val="auto"/>
          <w:sz w:val="24"/>
          <w:highlight w:val="none"/>
        </w:rPr>
        <w:t>的，评标委员会视同其未提供。</w:t>
      </w:r>
    </w:p>
    <w:p w14:paraId="7C527F4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16.</w:t>
      </w:r>
      <w:r>
        <w:rPr>
          <w:rFonts w:hint="eastAsia" w:asciiTheme="minorEastAsia" w:hAnsiTheme="minorEastAsia" w:eastAsiaTheme="minorEastAsia" w:cstheme="minorEastAsia"/>
          <w:color w:val="auto"/>
          <w:sz w:val="24"/>
          <w:highlight w:val="none"/>
        </w:rPr>
        <w:t>2如发现下列情况之一的，其投标将被认定为</w:t>
      </w:r>
      <w:r>
        <w:rPr>
          <w:rFonts w:hint="eastAsia" w:asciiTheme="minorEastAsia" w:hAnsiTheme="minorEastAsia" w:eastAsiaTheme="minorEastAsia" w:cstheme="minorEastAsia"/>
          <w:b/>
          <w:color w:val="auto"/>
          <w:sz w:val="24"/>
          <w:highlight w:val="none"/>
        </w:rPr>
        <w:t>投标无效</w:t>
      </w:r>
      <w:r>
        <w:rPr>
          <w:rFonts w:hint="eastAsia" w:asciiTheme="minorEastAsia" w:hAnsiTheme="minorEastAsia" w:eastAsiaTheme="minorEastAsia" w:cstheme="minorEastAsia"/>
          <w:color w:val="auto"/>
          <w:sz w:val="24"/>
          <w:highlight w:val="none"/>
        </w:rPr>
        <w:t>：</w:t>
      </w:r>
    </w:p>
    <w:p w14:paraId="21EDB8A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（1）投标文件未按照招标文件规定要求签署、盖章的；</w:t>
      </w:r>
    </w:p>
    <w:p w14:paraId="5680758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（2）不具备招标文件中规定的资格要求的；</w:t>
      </w:r>
    </w:p>
    <w:p w14:paraId="6A47516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（3）报价超过招标文件中规定的预算金额或者最高限价的；</w:t>
      </w:r>
    </w:p>
    <w:p w14:paraId="03A61BC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（4）投标文件含有采购人不能接受的附加条件的；</w:t>
      </w:r>
    </w:p>
    <w:p w14:paraId="79040D2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（5）法律、法规和招标文件规定的其他无效情形。</w:t>
      </w:r>
    </w:p>
    <w:p w14:paraId="17BE5E03">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eastAsia="zh-CN"/>
        </w:rPr>
        <w:t>17.</w:t>
      </w:r>
      <w:r>
        <w:rPr>
          <w:rFonts w:hint="eastAsia" w:asciiTheme="minorEastAsia" w:hAnsiTheme="minorEastAsia" w:eastAsiaTheme="minorEastAsia" w:cstheme="minorEastAsia"/>
          <w:b/>
          <w:color w:val="auto"/>
          <w:sz w:val="24"/>
          <w:highlight w:val="none"/>
        </w:rPr>
        <w:t>比较与评价</w:t>
      </w:r>
    </w:p>
    <w:p w14:paraId="0D1E136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17.</w:t>
      </w:r>
      <w:r>
        <w:rPr>
          <w:rFonts w:hint="eastAsia" w:asciiTheme="minorEastAsia" w:hAnsiTheme="minorEastAsia" w:eastAsiaTheme="minorEastAsia" w:cs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并通过异常低价审查</w:t>
      </w:r>
      <w:r>
        <w:rPr>
          <w:rFonts w:hint="eastAsia" w:asciiTheme="minorEastAsia" w:hAnsiTheme="minorEastAsia" w:eastAsiaTheme="minorEastAsia" w:cstheme="minorEastAsia"/>
          <w:color w:val="auto"/>
          <w:sz w:val="24"/>
          <w:highlight w:val="none"/>
        </w:rPr>
        <w:t>的投标文件，评标委员会将根据招标文件确定的评标方法和标准，对其投标文件作进一步的比较与评价。</w:t>
      </w:r>
    </w:p>
    <w:p w14:paraId="4EB8BA5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17.</w:t>
      </w:r>
      <w:r>
        <w:rPr>
          <w:rFonts w:hint="eastAsia" w:asciiTheme="minorEastAsia" w:hAnsiTheme="minorEastAsia" w:eastAsiaTheme="minorEastAsia" w:cstheme="minorEastAsia"/>
          <w:color w:val="auto"/>
          <w:sz w:val="24"/>
          <w:highlight w:val="none"/>
        </w:rPr>
        <w:t>2评标严格按照招标文件的要求和条件进行，详细评标方法和标准见招标文件第四章：</w:t>
      </w:r>
    </w:p>
    <w:p w14:paraId="51291387">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综合评分法，是指投标文件满足招标文件全部实质性要求，且按照评审因素的量化指标评审得分最高的投标人为中标候选人的评标方法。</w:t>
      </w:r>
    </w:p>
    <w:p w14:paraId="2FD5A108">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18</w:t>
      </w:r>
      <w:r>
        <w:rPr>
          <w:rFonts w:hint="eastAsia" w:asciiTheme="minorEastAsia" w:hAnsiTheme="minorEastAsia" w:eastAsiaTheme="minorEastAsia" w:cstheme="minorEastAsia"/>
          <w:b/>
          <w:color w:val="auto"/>
          <w:sz w:val="24"/>
          <w:highlight w:val="none"/>
        </w:rPr>
        <w:t>.废标、重新招标与变更采购方式</w:t>
      </w:r>
    </w:p>
    <w:p w14:paraId="4AE6EAF7">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18</w:t>
      </w:r>
      <w:r>
        <w:rPr>
          <w:rFonts w:hint="eastAsia" w:asciiTheme="minorEastAsia" w:hAnsiTheme="minorEastAsia" w:eastAsiaTheme="minorEastAsia" w:cstheme="minorEastAsia"/>
          <w:color w:val="auto"/>
          <w:sz w:val="24"/>
          <w:highlight w:val="none"/>
        </w:rPr>
        <w:t>.1出现下列情形之一，将导致项目废标：</w:t>
      </w:r>
    </w:p>
    <w:p w14:paraId="087B1E8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（1）符合专业条件的供应商或者对招标文件做实质性响应的供应商不足规定数量的；</w:t>
      </w:r>
    </w:p>
    <w:p w14:paraId="6F8EEEB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（2）出现影响采购公正的违法、违规行为的；</w:t>
      </w:r>
    </w:p>
    <w:p w14:paraId="17B7CF0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（3）投标人的报价均超过了采购预算，采购人不能支付的；</w:t>
      </w:r>
    </w:p>
    <w:p w14:paraId="7264C46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（4）因重大变故，采购任务取消的。</w:t>
      </w:r>
    </w:p>
    <w:p w14:paraId="271674F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18</w:t>
      </w:r>
      <w:r>
        <w:rPr>
          <w:rFonts w:hint="eastAsia" w:asciiTheme="minorEastAsia" w:hAnsiTheme="minorEastAsia" w:eastAsiaTheme="minorEastAsia" w:cstheme="minorEastAsia"/>
          <w:color w:val="auto"/>
          <w:sz w:val="24"/>
          <w:highlight w:val="none"/>
        </w:rPr>
        <w:t>.2公开招标数额标准以上的采购项目，投标截止后投标人不足3家或者通过资格审查或符合性审查</w:t>
      </w:r>
      <w:r>
        <w:rPr>
          <w:rFonts w:hint="eastAsia" w:ascii="宋体" w:hAnsi="宋体" w:eastAsia="宋体" w:cs="Times New Roman"/>
          <w:color w:val="auto"/>
          <w:sz w:val="24"/>
          <w:highlight w:val="none"/>
        </w:rPr>
        <w:t>或异常低价审查</w:t>
      </w:r>
      <w:r>
        <w:rPr>
          <w:rFonts w:hint="eastAsia" w:asciiTheme="minorEastAsia" w:hAnsiTheme="minorEastAsia" w:eastAsiaTheme="minorEastAsia" w:cstheme="minorEastAsia"/>
          <w:color w:val="auto"/>
          <w:sz w:val="24"/>
          <w:highlight w:val="none"/>
        </w:rPr>
        <w:t>的投标人不足3家的，除采购任务取消情形外，按照以下方式处理：</w:t>
      </w:r>
    </w:p>
    <w:p w14:paraId="29EE4EC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（1）招标文件存在不合理条款或者招标程序不符合规定的，采购人、采购代理机构改正后依法重新招标；</w:t>
      </w:r>
    </w:p>
    <w:p w14:paraId="35961A4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（2）招标文件没有不合理条款、招标程序符合规定，需要采用其他采购方式采购的，采购人应当依法报</w:t>
      </w:r>
      <w:r>
        <w:rPr>
          <w:rFonts w:hint="eastAsia" w:asciiTheme="minorEastAsia" w:hAnsiTheme="minorEastAsia" w:eastAsiaTheme="minorEastAsia" w:cstheme="minorEastAsia"/>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stheme="minorEastAsia"/>
          <w:color w:val="auto"/>
          <w:sz w:val="24"/>
          <w:highlight w:val="none"/>
        </w:rPr>
        <w:t>批准。</w:t>
      </w:r>
    </w:p>
    <w:p w14:paraId="36F244A7">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19</w:t>
      </w:r>
      <w:r>
        <w:rPr>
          <w:rFonts w:hint="eastAsia" w:asciiTheme="minorEastAsia" w:hAnsiTheme="minorEastAsia" w:eastAsiaTheme="minorEastAsia" w:cstheme="minorEastAsia"/>
          <w:b/>
          <w:color w:val="auto"/>
          <w:sz w:val="24"/>
          <w:highlight w:val="none"/>
        </w:rPr>
        <w:t>.保密要求</w:t>
      </w:r>
    </w:p>
    <w:p w14:paraId="6D34EB0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19</w:t>
      </w:r>
      <w:r>
        <w:rPr>
          <w:rFonts w:hint="eastAsia" w:asciiTheme="minorEastAsia" w:hAnsiTheme="minorEastAsia" w:eastAsiaTheme="minorEastAsia" w:cstheme="minorEastAsia"/>
          <w:color w:val="auto"/>
          <w:sz w:val="24"/>
          <w:highlight w:val="none"/>
        </w:rPr>
        <w:t>.1评标将在严格保密的情况下进行。</w:t>
      </w:r>
    </w:p>
    <w:p w14:paraId="0402F8C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19</w:t>
      </w:r>
      <w:r>
        <w:rPr>
          <w:rFonts w:hint="eastAsia" w:asciiTheme="minorEastAsia" w:hAnsiTheme="minorEastAsia" w:eastAsiaTheme="minorEastAsia" w:cstheme="minorEastAsia"/>
          <w:color w:val="auto"/>
          <w:sz w:val="24"/>
          <w:highlight w:val="none"/>
        </w:rPr>
        <w:t>.2有关人员应当遵守评标工作纪律，不得泄露评标文件、评标情况和评标中获悉的国家秘密、商业秘密。</w:t>
      </w:r>
    </w:p>
    <w:p w14:paraId="508D4B0E">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b/>
          <w:color w:val="auto"/>
          <w:sz w:val="24"/>
          <w:highlight w:val="none"/>
          <w:lang w:val="en-US" w:eastAsia="zh-CN"/>
        </w:rPr>
        <w:t>0</w:t>
      </w:r>
      <w:r>
        <w:rPr>
          <w:rFonts w:hint="eastAsia" w:asciiTheme="minorEastAsia" w:hAnsiTheme="minorEastAsia" w:eastAsiaTheme="minorEastAsia" w:cstheme="minorEastAsia"/>
          <w:b/>
          <w:color w:val="auto"/>
          <w:sz w:val="24"/>
          <w:highlight w:val="none"/>
        </w:rPr>
        <w:t>.中标候选人的确定原则及标准</w:t>
      </w:r>
    </w:p>
    <w:p w14:paraId="2512DE5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20.1</w:t>
      </w:r>
      <w:r>
        <w:rPr>
          <w:rFonts w:hint="eastAsia" w:asciiTheme="minorEastAsia" w:hAnsiTheme="minorEastAsia" w:eastAsiaTheme="minorEastAsia" w:cstheme="minorEastAsia"/>
          <w:color w:val="auto"/>
          <w:sz w:val="24"/>
          <w:highlight w:val="none"/>
        </w:rPr>
        <w:t>评标委员会依据本项目招标文件所约定的评标方法，对实质上响应招标文件的投标人按下列方法进行排序，确定中标候选人：</w:t>
      </w:r>
    </w:p>
    <w:p w14:paraId="6F7963A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highlight w:val="none"/>
        </w:rPr>
        <w:t>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stheme="minorEastAsia"/>
          <w:color w:val="auto"/>
          <w:sz w:val="24"/>
          <w:highlight w:val="none"/>
          <w:lang w:val="en-US" w:eastAsia="zh-CN"/>
        </w:rPr>
        <w:t>按32.1.2执行。</w:t>
      </w:r>
      <w:r>
        <w:rPr>
          <w:rFonts w:hint="eastAsia" w:asciiTheme="minorEastAsia" w:hAnsiTheme="minorEastAsia" w:eastAsiaTheme="minorEastAsia" w:cstheme="minorEastAsia"/>
          <w:color w:val="auto"/>
          <w:sz w:val="24"/>
          <w:highlight w:val="none"/>
        </w:rPr>
        <w:t>若通过以上方式无法确定排序的，采取评标委员会随机抽取的方式确定中标候选顺序。</w:t>
      </w:r>
    </w:p>
    <w:p w14:paraId="250424CE">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b/>
          <w:color w:val="auto"/>
          <w:sz w:val="24"/>
          <w:highlight w:val="none"/>
          <w:lang w:val="en-US" w:eastAsia="zh-CN"/>
        </w:rPr>
        <w:t>1</w:t>
      </w:r>
      <w:r>
        <w:rPr>
          <w:rFonts w:hint="eastAsia" w:asciiTheme="minorEastAsia" w:hAnsiTheme="minorEastAsia" w:eastAsiaTheme="minorEastAsia" w:cstheme="minorEastAsia"/>
          <w:b/>
          <w:color w:val="auto"/>
          <w:sz w:val="24"/>
          <w:highlight w:val="none"/>
        </w:rPr>
        <w:t>.确定中标候选人和中标人</w:t>
      </w:r>
    </w:p>
    <w:p w14:paraId="5771425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.1评标委员会将根据评标标准，按</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中规定数量推荐中标候选人。</w:t>
      </w:r>
    </w:p>
    <w:p w14:paraId="186482B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.2按</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中规定，由评标委员会或采购人确定中标人。</w:t>
      </w:r>
    </w:p>
    <w:p w14:paraId="0E35313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.3因重大变故采购任务取消时，采购人有权拒绝任何投标人中标，且对受影响的投标人不承担任何责任。</w:t>
      </w:r>
    </w:p>
    <w:p w14:paraId="1B488CC8">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b/>
          <w:color w:val="auto"/>
          <w:sz w:val="24"/>
          <w:highlight w:val="none"/>
          <w:lang w:val="en-US" w:eastAsia="zh-CN"/>
        </w:rPr>
        <w:t>2</w:t>
      </w:r>
      <w:r>
        <w:rPr>
          <w:rFonts w:hint="eastAsia" w:asciiTheme="minorEastAsia" w:hAnsiTheme="minorEastAsia" w:eastAsiaTheme="minorEastAsia" w:cstheme="minorEastAsia"/>
          <w:b/>
          <w:color w:val="auto"/>
          <w:sz w:val="24"/>
          <w:highlight w:val="none"/>
        </w:rPr>
        <w:t>.编写评标报告</w:t>
      </w:r>
    </w:p>
    <w:p w14:paraId="656B2C0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0F3CB448">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b/>
          <w:color w:val="auto"/>
          <w:sz w:val="24"/>
          <w:highlight w:val="none"/>
          <w:lang w:val="en-US" w:eastAsia="zh-CN"/>
        </w:rPr>
        <w:t>3</w:t>
      </w:r>
      <w:r>
        <w:rPr>
          <w:rFonts w:hint="eastAsia" w:asciiTheme="minorEastAsia" w:hAnsiTheme="minorEastAsia" w:eastAsiaTheme="minorEastAsia" w:cstheme="minorEastAsia"/>
          <w:b/>
          <w:color w:val="auto"/>
          <w:sz w:val="24"/>
          <w:highlight w:val="none"/>
        </w:rPr>
        <w:t>.中标结果公告</w:t>
      </w:r>
    </w:p>
    <w:p w14:paraId="5C12DA4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.1除</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A139A7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18"/>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szCs w:val="18"/>
          <w:highlight w:val="none"/>
        </w:rPr>
        <w:t>自中标人确定之日起2个工作日内，采购代理机构将在盛唐集团招标采购交易平台（</w:t>
      </w:r>
      <w:r>
        <w:rPr>
          <w:rFonts w:hint="eastAsia" w:asciiTheme="minorEastAsia" w:hAnsiTheme="minorEastAsia" w:eastAsiaTheme="minorEastAsia" w:cstheme="minorEastAsia"/>
          <w:color w:val="auto"/>
          <w:sz w:val="24"/>
          <w:szCs w:val="18"/>
          <w:highlight w:val="none"/>
        </w:rPr>
        <w:fldChar w:fldCharType="begin"/>
      </w:r>
      <w:r>
        <w:rPr>
          <w:rFonts w:hint="eastAsia" w:asciiTheme="minorEastAsia" w:hAnsiTheme="minorEastAsia" w:eastAsiaTheme="minorEastAsia" w:cstheme="minorEastAsia"/>
          <w:color w:val="auto"/>
          <w:sz w:val="24"/>
          <w:szCs w:val="18"/>
          <w:highlight w:val="none"/>
        </w:rPr>
        <w:instrText xml:space="preserve"> HYPERLINK "http://stjt.ybbid.com" </w:instrText>
      </w:r>
      <w:r>
        <w:rPr>
          <w:rFonts w:hint="eastAsia" w:asciiTheme="minorEastAsia" w:hAnsiTheme="minorEastAsia" w:eastAsiaTheme="minorEastAsia" w:cstheme="minorEastAsia"/>
          <w:color w:val="auto"/>
          <w:sz w:val="24"/>
          <w:szCs w:val="18"/>
          <w:highlight w:val="none"/>
        </w:rPr>
        <w:fldChar w:fldCharType="separate"/>
      </w:r>
      <w:r>
        <w:rPr>
          <w:rFonts w:hint="eastAsia" w:asciiTheme="minorEastAsia" w:hAnsiTheme="minorEastAsia" w:eastAsiaTheme="minorEastAsia" w:cstheme="minorEastAsia"/>
          <w:color w:val="auto"/>
          <w:sz w:val="24"/>
          <w:szCs w:val="18"/>
          <w:highlight w:val="none"/>
        </w:rPr>
        <w:t>http://stjt.ybbid.com</w:t>
      </w:r>
      <w:r>
        <w:rPr>
          <w:rFonts w:hint="eastAsia" w:asciiTheme="minorEastAsia" w:hAnsiTheme="minorEastAsia" w:eastAsiaTheme="minorEastAsia" w:cstheme="minorEastAsia"/>
          <w:color w:val="auto"/>
          <w:sz w:val="24"/>
          <w:szCs w:val="18"/>
          <w:highlight w:val="none"/>
        </w:rPr>
        <w:fldChar w:fldCharType="end"/>
      </w:r>
      <w:r>
        <w:rPr>
          <w:rFonts w:hint="eastAsia" w:asciiTheme="minorEastAsia" w:hAnsiTheme="minorEastAsia" w:eastAsiaTheme="minorEastAsia" w:cstheme="minorEastAsia"/>
          <w:color w:val="auto"/>
          <w:sz w:val="24"/>
          <w:szCs w:val="18"/>
          <w:highlight w:val="none"/>
        </w:rPr>
        <w:t>）上发布中标结果公告。</w:t>
      </w:r>
    </w:p>
    <w:p w14:paraId="0A2B2CD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.3中标结果公告</w:t>
      </w:r>
      <w:r>
        <w:rPr>
          <w:rFonts w:hint="eastAsia" w:asciiTheme="minorEastAsia" w:hAnsiTheme="minorEastAsia" w:eastAsiaTheme="minorEastAsia" w:cstheme="minorEastAsia"/>
          <w:color w:val="auto"/>
          <w:sz w:val="24"/>
          <w:szCs w:val="18"/>
          <w:highlight w:val="none"/>
          <w:lang w:val="en-US" w:eastAsia="zh-CN"/>
        </w:rPr>
        <w:t>内容：详见投标人须知前附表</w:t>
      </w:r>
      <w:r>
        <w:rPr>
          <w:rFonts w:hint="eastAsia" w:asciiTheme="minorEastAsia" w:hAnsiTheme="minorEastAsia" w:eastAsiaTheme="minorEastAsia" w:cstheme="minorEastAsia"/>
          <w:color w:val="auto"/>
          <w:sz w:val="24"/>
          <w:highlight w:val="none"/>
        </w:rPr>
        <w:t>。中标公告期限为1个工作日。</w:t>
      </w:r>
    </w:p>
    <w:p w14:paraId="6081D767">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b/>
          <w:color w:val="auto"/>
          <w:sz w:val="24"/>
          <w:highlight w:val="none"/>
          <w:lang w:val="en-US" w:eastAsia="zh-CN"/>
        </w:rPr>
        <w:t>4</w:t>
      </w:r>
      <w:r>
        <w:rPr>
          <w:rFonts w:hint="eastAsia" w:asciiTheme="minorEastAsia" w:hAnsiTheme="minorEastAsia" w:eastAsiaTheme="minorEastAsia" w:cstheme="minorEastAsia"/>
          <w:b/>
          <w:color w:val="auto"/>
          <w:sz w:val="24"/>
          <w:highlight w:val="none"/>
        </w:rPr>
        <w:t>.中标通知书</w:t>
      </w:r>
    </w:p>
    <w:p w14:paraId="03E77C2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.1采购代理机构发布中标结果公告</w:t>
      </w:r>
      <w:r>
        <w:rPr>
          <w:rFonts w:hint="eastAsia" w:asciiTheme="minorEastAsia" w:hAnsiTheme="minorEastAsia" w:eastAsiaTheme="minorEastAsia" w:cstheme="minorEastAsia"/>
          <w:iCs/>
          <w:color w:val="auto"/>
          <w:sz w:val="24"/>
          <w:highlight w:val="none"/>
        </w:rPr>
        <w:t>的</w:t>
      </w:r>
      <w:r>
        <w:rPr>
          <w:rFonts w:hint="eastAsia" w:asciiTheme="minorEastAsia" w:hAnsiTheme="minorEastAsia" w:eastAsiaTheme="minorEastAsia" w:cstheme="minorEastAsia"/>
          <w:color w:val="auto"/>
          <w:sz w:val="24"/>
          <w:highlight w:val="none"/>
        </w:rPr>
        <w:t>同时以</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规定的形式向中标人发出中标通知书。</w:t>
      </w:r>
    </w:p>
    <w:p w14:paraId="0785B0A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.2中标通知书对采购人和中标人具有同等法律效力。中标通知书发出以后，采购人改变中标结果或者中标人放弃中标，应当承担相应的法律责任。</w:t>
      </w:r>
    </w:p>
    <w:p w14:paraId="3578B28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.3中标通知书是合同的组成部分。</w:t>
      </w:r>
    </w:p>
    <w:p w14:paraId="343D4CD7">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25</w:t>
      </w:r>
      <w:r>
        <w:rPr>
          <w:rFonts w:hint="eastAsia" w:asciiTheme="minorEastAsia" w:hAnsiTheme="minorEastAsia" w:eastAsiaTheme="minorEastAsia" w:cstheme="minorEastAsia"/>
          <w:b/>
          <w:color w:val="auto"/>
          <w:sz w:val="24"/>
          <w:highlight w:val="none"/>
        </w:rPr>
        <w:t>.告知招标结果</w:t>
      </w:r>
    </w:p>
    <w:p w14:paraId="7DBBB8D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25</w:t>
      </w:r>
      <w:r>
        <w:rPr>
          <w:rFonts w:hint="eastAsia" w:asciiTheme="minorEastAsia" w:hAnsiTheme="minorEastAsia" w:eastAsiaTheme="minorEastAsia" w:cstheme="minorEastAsia"/>
          <w:color w:val="auto"/>
          <w:sz w:val="24"/>
          <w:highlight w:val="none"/>
        </w:rPr>
        <w:t>.1在公告中标结果的同时，采购代理机构同时以</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规定的形式告知未通过资格审查的投标人未通过的原因；采用综合评分法评审的，还将告知未中标人本人的评审得分和排序。</w:t>
      </w:r>
    </w:p>
    <w:p w14:paraId="26A1F59E">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26</w:t>
      </w:r>
      <w:r>
        <w:rPr>
          <w:rFonts w:hint="eastAsia" w:asciiTheme="minorEastAsia" w:hAnsiTheme="minorEastAsia" w:eastAsiaTheme="minorEastAsia" w:cstheme="minorEastAsia"/>
          <w:b/>
          <w:color w:val="auto"/>
          <w:sz w:val="24"/>
          <w:highlight w:val="none"/>
        </w:rPr>
        <w:t>.履约保证金</w:t>
      </w:r>
    </w:p>
    <w:p w14:paraId="76BEDD0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26</w:t>
      </w:r>
      <w:r>
        <w:rPr>
          <w:rFonts w:hint="eastAsia" w:asciiTheme="minorEastAsia" w:hAnsiTheme="minorEastAsia" w:eastAsiaTheme="minorEastAsia" w:cstheme="minorEastAsia"/>
          <w:color w:val="auto"/>
          <w:sz w:val="24"/>
          <w:highlight w:val="none"/>
        </w:rPr>
        <w:t>.1中标人应按照</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规定缴纳履约保证金。</w:t>
      </w:r>
    </w:p>
    <w:p w14:paraId="0E97519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lang w:val="en-US" w:eastAsia="zh-CN"/>
        </w:rPr>
        <w:t>26</w:t>
      </w:r>
      <w:r>
        <w:rPr>
          <w:rFonts w:hint="eastAsia" w:asciiTheme="minorEastAsia" w:hAnsiTheme="minorEastAsia" w:eastAsiaTheme="minorEastAsia" w:cstheme="minorEastAsia"/>
          <w:color w:val="auto"/>
          <w:sz w:val="24"/>
          <w:highlight w:val="none"/>
        </w:rPr>
        <w:t>.2如果中标人没有按照上述履约保证金的规定执行，将视为放弃中标资格。在此情况下，采购人可确定下一中标候选人为中标人，也可以重新开展采购活动。</w:t>
      </w:r>
    </w:p>
    <w:p w14:paraId="61F407D5">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lang w:val="en-US" w:eastAsia="zh-CN"/>
        </w:rPr>
        <w:t>27</w:t>
      </w:r>
      <w:r>
        <w:rPr>
          <w:rFonts w:hint="eastAsia" w:asciiTheme="minorEastAsia" w:hAnsiTheme="minorEastAsia" w:eastAsiaTheme="minorEastAsia" w:cstheme="minorEastAsia"/>
          <w:b/>
          <w:color w:val="auto"/>
          <w:sz w:val="24"/>
          <w:highlight w:val="none"/>
        </w:rPr>
        <w:t>.签订合同</w:t>
      </w:r>
    </w:p>
    <w:p w14:paraId="192AB19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27</w:t>
      </w: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szCs w:val="24"/>
          <w:highlight w:val="none"/>
          <w:u w:val="none"/>
          <w:lang w:val="en-US" w:eastAsia="zh-CN"/>
        </w:rPr>
        <w:t>采购人与中标人应当按照</w:t>
      </w:r>
      <w:r>
        <w:rPr>
          <w:rFonts w:hint="eastAsia" w:asciiTheme="minorEastAsia" w:hAnsiTheme="minorEastAsia" w:eastAsiaTheme="minorEastAsia" w:cstheme="minorEastAsia"/>
          <w:color w:val="auto"/>
          <w:sz w:val="24"/>
          <w:szCs w:val="24"/>
          <w:highlight w:val="none"/>
          <w:u w:val="single"/>
        </w:rPr>
        <w:t>投标人须知前附表</w:t>
      </w:r>
      <w:r>
        <w:rPr>
          <w:rFonts w:hint="eastAsia" w:asciiTheme="minorEastAsia" w:hAnsiTheme="minorEastAsia" w:eastAsiaTheme="minorEastAsia" w:cstheme="minorEastAsia"/>
          <w:color w:val="auto"/>
          <w:sz w:val="24"/>
          <w:szCs w:val="24"/>
          <w:highlight w:val="none"/>
          <w:u w:val="none"/>
        </w:rPr>
        <w:t>规定</w:t>
      </w:r>
      <w:r>
        <w:rPr>
          <w:rFonts w:hint="eastAsia" w:asciiTheme="minorEastAsia" w:hAnsiTheme="minorEastAsia" w:eastAsiaTheme="minorEastAsia" w:cstheme="minorEastAsia"/>
          <w:color w:val="auto"/>
          <w:sz w:val="24"/>
          <w:szCs w:val="24"/>
          <w:highlight w:val="none"/>
          <w:lang w:val="en-US" w:eastAsia="zh-CN"/>
        </w:rPr>
        <w:t>的时间内完成政府采购合同签订及合同公告。</w:t>
      </w:r>
    </w:p>
    <w:p w14:paraId="23A4D9B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27</w:t>
      </w:r>
      <w:r>
        <w:rPr>
          <w:rFonts w:hint="eastAsia" w:asciiTheme="minorEastAsia" w:hAnsiTheme="minorEastAsia" w:eastAsiaTheme="minorEastAsia" w:cstheme="minorEastAsia"/>
          <w:color w:val="auto"/>
          <w:sz w:val="24"/>
          <w:highlight w:val="none"/>
        </w:rPr>
        <w:t>.2招标文件、中标人的投标文件及其澄清文件等，均为签订合同的依据。</w:t>
      </w:r>
    </w:p>
    <w:p w14:paraId="61B5CCF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2</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3中标人拒绝与采购人签订合同的，采购人可以按照评审报告推荐的中标候选人名单排序，确定下一中标候选人为中标人，也可以重新开展政府采购活动。</w:t>
      </w:r>
    </w:p>
    <w:p w14:paraId="4269ACD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2</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依据《政府采购促进中小企业发展管理办法》（财库〔2020〕46号）规定享受扶持政策获得政府采购合同的，小微企业不得将合同分包给大中型企业，中型企业不得将合同分包给大型企业。</w:t>
      </w:r>
    </w:p>
    <w:p w14:paraId="783F9D10">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28</w:t>
      </w:r>
      <w:r>
        <w:rPr>
          <w:rFonts w:hint="eastAsia" w:asciiTheme="minorEastAsia" w:hAnsiTheme="minorEastAsia" w:eastAsiaTheme="minorEastAsia" w:cstheme="minorEastAsia"/>
          <w:b/>
          <w:color w:val="auto"/>
          <w:sz w:val="24"/>
          <w:highlight w:val="none"/>
        </w:rPr>
        <w:t>.</w:t>
      </w:r>
      <w:r>
        <w:rPr>
          <w:rFonts w:hint="eastAsia" w:asciiTheme="minorEastAsia" w:hAnsiTheme="minorEastAsia" w:eastAsiaTheme="minorEastAsia" w:cstheme="minorEastAsia"/>
          <w:b/>
          <w:color w:val="auto"/>
          <w:sz w:val="24"/>
          <w:highlight w:val="none"/>
          <w:lang w:val="en-US" w:eastAsia="zh-CN"/>
        </w:rPr>
        <w:t>代理费用</w:t>
      </w:r>
    </w:p>
    <w:p w14:paraId="27EF3DA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28</w:t>
      </w:r>
      <w:r>
        <w:rPr>
          <w:rFonts w:hint="eastAsia" w:asciiTheme="minorEastAsia" w:hAnsiTheme="minorEastAsia" w:eastAsiaTheme="minorEastAsia" w:cstheme="minorEastAsia"/>
          <w:color w:val="auto"/>
          <w:sz w:val="24"/>
          <w:highlight w:val="none"/>
        </w:rPr>
        <w:t>.1本项目</w:t>
      </w:r>
      <w:r>
        <w:rPr>
          <w:rFonts w:hint="eastAsia" w:asciiTheme="minorEastAsia" w:hAnsiTheme="minorEastAsia" w:eastAsiaTheme="minorEastAsia" w:cstheme="minorEastAsia"/>
          <w:color w:val="auto"/>
          <w:sz w:val="24"/>
          <w:highlight w:val="none"/>
          <w:lang w:val="en-US" w:eastAsia="zh-CN"/>
        </w:rPr>
        <w:t>代理费用</w:t>
      </w:r>
      <w:r>
        <w:rPr>
          <w:rFonts w:hint="eastAsia" w:asciiTheme="minorEastAsia" w:hAnsiTheme="minorEastAsia" w:eastAsiaTheme="minorEastAsia" w:cstheme="minorEastAsia"/>
          <w:color w:val="auto"/>
          <w:sz w:val="24"/>
          <w:highlight w:val="none"/>
        </w:rPr>
        <w:t>的收取按</w:t>
      </w:r>
      <w:r>
        <w:rPr>
          <w:rFonts w:hint="eastAsia" w:asciiTheme="minorEastAsia" w:hAnsiTheme="minorEastAsia" w:eastAsiaTheme="minorEastAsia" w:cstheme="minorEastAsia"/>
          <w:color w:val="auto"/>
          <w:sz w:val="24"/>
          <w:highlight w:val="none"/>
          <w:u w:val="single"/>
        </w:rPr>
        <w:t>投标人须知前附表的</w:t>
      </w:r>
      <w:r>
        <w:rPr>
          <w:rFonts w:hint="eastAsia" w:asciiTheme="minorEastAsia" w:hAnsiTheme="minorEastAsia" w:eastAsiaTheme="minorEastAsia" w:cstheme="minorEastAsia"/>
          <w:color w:val="auto"/>
          <w:sz w:val="24"/>
          <w:highlight w:val="none"/>
        </w:rPr>
        <w:t>规定执行。</w:t>
      </w:r>
    </w:p>
    <w:p w14:paraId="1706DEEC">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bookmarkStart w:id="106" w:name="_Toc2583661"/>
      <w:bookmarkStart w:id="107" w:name="_Toc518923100"/>
      <w:r>
        <w:rPr>
          <w:rFonts w:hint="eastAsia" w:asciiTheme="minorEastAsia" w:hAnsiTheme="minorEastAsia" w:eastAsiaTheme="minorEastAsia" w:cstheme="minorEastAsia"/>
          <w:b/>
          <w:color w:val="auto"/>
          <w:sz w:val="24"/>
          <w:highlight w:val="none"/>
          <w:lang w:eastAsia="zh-CN"/>
        </w:rPr>
        <w:t>29.</w:t>
      </w:r>
      <w:r>
        <w:rPr>
          <w:rFonts w:hint="eastAsia" w:asciiTheme="minorEastAsia" w:hAnsiTheme="minorEastAsia" w:eastAsiaTheme="minorEastAsia" w:cstheme="minorEastAsia"/>
          <w:b/>
          <w:color w:val="auto"/>
          <w:sz w:val="24"/>
          <w:highlight w:val="none"/>
        </w:rPr>
        <w:t>廉洁自律规定</w:t>
      </w:r>
      <w:bookmarkEnd w:id="106"/>
      <w:bookmarkEnd w:id="107"/>
    </w:p>
    <w:p w14:paraId="42B7B7F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29.</w:t>
      </w:r>
      <w:r>
        <w:rPr>
          <w:rFonts w:hint="eastAsia" w:asciiTheme="minorEastAsia" w:hAnsiTheme="minorEastAsia" w:eastAsiaTheme="minorEastAsia" w:cstheme="minorEastAsia"/>
          <w:color w:val="auto"/>
          <w:sz w:val="24"/>
          <w:highlight w:val="none"/>
        </w:rPr>
        <w:t>1采购代理机构工作人员不得以不正当手段获取政府采购代理业务，不得与采购人、供应商恶意串通。</w:t>
      </w:r>
    </w:p>
    <w:p w14:paraId="38AF036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29.</w:t>
      </w:r>
      <w:r>
        <w:rPr>
          <w:rFonts w:hint="eastAsia" w:asciiTheme="minorEastAsia" w:hAnsiTheme="minorEastAsia" w:eastAsiaTheme="minorEastAsia" w:cstheme="minorEastAsia"/>
          <w:color w:val="auto"/>
          <w:sz w:val="24"/>
          <w:highlight w:val="none"/>
        </w:rPr>
        <w:t>2采购代理机构工作人员不得接受采购人或者供应商组织的宴请、旅游、娱乐，不得收受礼品、现金、有价证券等，不得向采购人或者供应商报销应当由个人承担的费用。</w:t>
      </w:r>
    </w:p>
    <w:p w14:paraId="465F379A">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bookmarkStart w:id="108" w:name="_Toc518923101"/>
      <w:bookmarkStart w:id="109" w:name="_Toc2583662"/>
      <w:r>
        <w:rPr>
          <w:rFonts w:hint="eastAsia" w:asciiTheme="minorEastAsia" w:hAnsiTheme="minorEastAsia" w:eastAsiaTheme="minorEastAsia" w:cstheme="minorEastAsia"/>
          <w:b/>
          <w:color w:val="auto"/>
          <w:sz w:val="24"/>
          <w:highlight w:val="none"/>
        </w:rPr>
        <w:t>3</w:t>
      </w:r>
      <w:r>
        <w:rPr>
          <w:rFonts w:hint="eastAsia" w:asciiTheme="minorEastAsia" w:hAnsiTheme="minorEastAsia" w:eastAsiaTheme="minorEastAsia" w:cstheme="minorEastAsia"/>
          <w:b/>
          <w:color w:val="auto"/>
          <w:sz w:val="24"/>
          <w:highlight w:val="none"/>
          <w:lang w:val="en-US" w:eastAsia="zh-CN"/>
        </w:rPr>
        <w:t>0</w:t>
      </w:r>
      <w:r>
        <w:rPr>
          <w:rFonts w:hint="eastAsia" w:asciiTheme="minorEastAsia" w:hAnsiTheme="minorEastAsia" w:eastAsiaTheme="minorEastAsia" w:cstheme="minorEastAsia"/>
          <w:b/>
          <w:color w:val="auto"/>
          <w:sz w:val="24"/>
          <w:highlight w:val="none"/>
        </w:rPr>
        <w:t>.人员回避</w:t>
      </w:r>
      <w:bookmarkEnd w:id="108"/>
      <w:bookmarkEnd w:id="109"/>
    </w:p>
    <w:p w14:paraId="2292854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投标人认为采购人员及其相关人员有法律法规所列与其他供应商有利害关系的，可以向采购人或采购代理机构书面提出回避申请，并说明理由。</w:t>
      </w:r>
    </w:p>
    <w:p w14:paraId="6A1A0CFA">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w:t>
      </w:r>
      <w:r>
        <w:rPr>
          <w:rFonts w:hint="eastAsia" w:asciiTheme="minorEastAsia" w:hAnsiTheme="minorEastAsia" w:eastAsiaTheme="minorEastAsia" w:cstheme="minorEastAsia"/>
          <w:b/>
          <w:color w:val="auto"/>
          <w:sz w:val="24"/>
          <w:highlight w:val="none"/>
          <w:lang w:val="en-US" w:eastAsia="zh-CN"/>
        </w:rPr>
        <w:t>1</w:t>
      </w:r>
      <w:r>
        <w:rPr>
          <w:rFonts w:hint="eastAsia" w:asciiTheme="minorEastAsia" w:hAnsiTheme="minorEastAsia" w:eastAsiaTheme="minorEastAsia" w:cstheme="minorEastAsia"/>
          <w:b/>
          <w:color w:val="auto"/>
          <w:sz w:val="24"/>
          <w:highlight w:val="none"/>
        </w:rPr>
        <w:t>.质疑的提出与接收</w:t>
      </w:r>
    </w:p>
    <w:p w14:paraId="2B54A41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E1617D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质疑供应商应按照财政部制定的《供应商质疑函范本》格式（详见招标文件）和《政府采购质疑和投诉办法》的要求，在法定质疑期内以书面形式提出质疑，超出法定质疑期提交的质疑将被拒绝。针对同一采购程序环节的质疑应一次性提出。</w:t>
      </w:r>
    </w:p>
    <w:p w14:paraId="79BE81B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采购代理机构质疑函接收部门、联系电话和通讯地址，见</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w:t>
      </w:r>
    </w:p>
    <w:p w14:paraId="04FD191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注：上述条款中所要求的书面形式包含通过电子交易系统递交方式。</w:t>
      </w:r>
    </w:p>
    <w:p w14:paraId="6808A51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31.4质疑答复以书面形式通知质疑供应商和其他有关投标人。但答复的内容不得涉及商业秘密。</w:t>
      </w:r>
    </w:p>
    <w:p w14:paraId="4E1B200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31.5 采购人、采购代理机构认为投标人质疑不成立，或者成立但未对中标结果构成影响的，继续开展采购活动；认为投标人质疑成立且影响或者可能影响中标结果的，按照下列情况处理：</w:t>
      </w:r>
    </w:p>
    <w:p w14:paraId="6DFD526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（1）对招标文件提出的质疑，依法通过澄清或者修改可以继续开展采购活动的，澄清或者修改采购文件后继续开展采购活动；否则应当修改招标文件后重新开展采购活动。</w:t>
      </w:r>
    </w:p>
    <w:p w14:paraId="2EA0D28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（2）对采购过程、中标结果提出的质疑，合格投标人符合法定数量时，可以从合格的中标候选人中另行确定中标人的，应当依法另行确定中标人；否则应当重新开展采购活动。</w:t>
      </w:r>
    </w:p>
    <w:p w14:paraId="292733D7">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质疑答复导致中标结果改变的，采购人或者采购代理机构应当将有关情况书面报告本级财政部门。</w:t>
      </w:r>
    </w:p>
    <w:p w14:paraId="7EA0A51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31.6 因处理质疑发生的检验、检测、鉴定等费用，由提出申请的投标人先行垫付。质疑处理决定各方无异议后，按照“谁过错谁负担”的原则由承担责任的一方负担；双方都有责任的，由双方合理分担。</w:t>
      </w:r>
    </w:p>
    <w:p w14:paraId="5167629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31.7 投标人不得以质疑为名进行虚假、恶意质疑，扰乱政府采购正常的工作秩序。投标人有下列情形之一的，属于虚假、恶意质疑，被质疑人应当驳回质疑，并向同级监督管理部门报告，将其列入不良行为记录名单，并依法予以处罚：</w:t>
      </w:r>
    </w:p>
    <w:p w14:paraId="694F7A8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（1）一年内三次以上质疑均查无实据的；</w:t>
      </w:r>
    </w:p>
    <w:p w14:paraId="652D0F17">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（2）捏造事实或者提供虚假质疑材料的；</w:t>
      </w:r>
    </w:p>
    <w:p w14:paraId="17A1366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（3）以非法手段取得证明材料。证明材料来源的合法性存在明显疑问，投标人无法证明其取得方式合法的，视为以非法手段取得证明材料。</w:t>
      </w:r>
    </w:p>
    <w:p w14:paraId="0886A38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31.8质疑供应商对质疑答复不满意，或采购人、采购代理机构未在规定时间内作出答复的，可以在答复期满后15个工作日内向同级监管部门提起投诉，投诉函接收部门、联系电话和通讯地址，见</w:t>
      </w:r>
      <w:r>
        <w:rPr>
          <w:rFonts w:hint="eastAsia" w:asciiTheme="minorEastAsia" w:hAnsiTheme="minorEastAsia" w:eastAsiaTheme="minorEastAsia" w:cstheme="minorEastAsia"/>
          <w:color w:val="auto"/>
          <w:sz w:val="24"/>
          <w:highlight w:val="none"/>
          <w:u w:val="single"/>
          <w:lang w:val="en-US" w:eastAsia="zh-CN"/>
        </w:rPr>
        <w:t>投标人须知前附表</w:t>
      </w:r>
      <w:r>
        <w:rPr>
          <w:rFonts w:hint="eastAsia" w:asciiTheme="minorEastAsia" w:hAnsiTheme="minorEastAsia" w:eastAsiaTheme="minorEastAsia" w:cstheme="minorEastAsia"/>
          <w:color w:val="auto"/>
          <w:sz w:val="24"/>
          <w:highlight w:val="none"/>
          <w:lang w:val="en-US" w:eastAsia="zh-CN"/>
        </w:rPr>
        <w:t>。</w:t>
      </w:r>
    </w:p>
    <w:p w14:paraId="46332C34">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3</w:t>
      </w:r>
      <w:r>
        <w:rPr>
          <w:rFonts w:hint="eastAsia" w:asciiTheme="minorEastAsia" w:hAnsiTheme="minorEastAsia" w:eastAsiaTheme="minorEastAsia" w:cstheme="minorEastAsia"/>
          <w:b/>
          <w:color w:val="auto"/>
          <w:sz w:val="24"/>
          <w:highlight w:val="none"/>
          <w:lang w:val="en-US" w:eastAsia="zh-CN"/>
        </w:rPr>
        <w:t>2</w:t>
      </w:r>
      <w:r>
        <w:rPr>
          <w:rFonts w:hint="eastAsia" w:asciiTheme="minorEastAsia" w:hAnsiTheme="minorEastAsia" w:eastAsiaTheme="minorEastAsia" w:cstheme="minorEastAsia"/>
          <w:b/>
          <w:color w:val="auto"/>
          <w:sz w:val="24"/>
          <w:highlight w:val="none"/>
        </w:rPr>
        <w:t>.需要补充的其他内容</w:t>
      </w:r>
    </w:p>
    <w:p w14:paraId="4442160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需要补充的其他内容，见</w:t>
      </w:r>
      <w:r>
        <w:rPr>
          <w:rFonts w:hint="eastAsia" w:asciiTheme="minorEastAsia" w:hAnsiTheme="minorEastAsia" w:eastAsiaTheme="minorEastAsia" w:cstheme="minorEastAsia"/>
          <w:color w:val="auto"/>
          <w:sz w:val="24"/>
          <w:highlight w:val="none"/>
          <w:u w:val="single"/>
        </w:rPr>
        <w:t>投标人须知前附表</w:t>
      </w:r>
      <w:r>
        <w:rPr>
          <w:rFonts w:hint="eastAsia" w:asciiTheme="minorEastAsia" w:hAnsiTheme="minorEastAsia" w:eastAsiaTheme="minorEastAsia" w:cstheme="minorEastAsia"/>
          <w:color w:val="auto"/>
          <w:sz w:val="24"/>
          <w:highlight w:val="none"/>
        </w:rPr>
        <w:t>。</w:t>
      </w:r>
    </w:p>
    <w:p w14:paraId="7E8613CD">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color w:val="auto"/>
          <w:sz w:val="24"/>
          <w:highlight w:val="none"/>
        </w:rPr>
        <w:br w:type="page"/>
      </w:r>
    </w:p>
    <w:p w14:paraId="431AAF81">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0"/>
        <w:rPr>
          <w:rStyle w:val="19"/>
          <w:rFonts w:hint="eastAsia" w:asciiTheme="minorEastAsia" w:hAnsiTheme="minorEastAsia" w:eastAsiaTheme="minorEastAsia" w:cstheme="minorEastAsia"/>
          <w:color w:val="auto"/>
          <w:kern w:val="44"/>
          <w:sz w:val="44"/>
          <w:szCs w:val="44"/>
          <w:highlight w:val="none"/>
          <w:lang w:val="en-US" w:eastAsia="zh-CN" w:bidi="ar-SA"/>
        </w:rPr>
      </w:pPr>
      <w:bookmarkStart w:id="110" w:name="_Toc25895"/>
      <w:r>
        <w:rPr>
          <w:rStyle w:val="19"/>
          <w:rFonts w:hint="eastAsia" w:asciiTheme="minorEastAsia" w:hAnsiTheme="minorEastAsia" w:eastAsiaTheme="minorEastAsia" w:cstheme="minorEastAsia"/>
          <w:color w:val="auto"/>
          <w:kern w:val="44"/>
          <w:sz w:val="44"/>
          <w:szCs w:val="44"/>
          <w:highlight w:val="none"/>
          <w:lang w:val="en-US" w:eastAsia="zh-CN" w:bidi="ar-SA"/>
        </w:rPr>
        <w:t xml:space="preserve">第三章  </w:t>
      </w:r>
      <w:bookmarkStart w:id="111" w:name="_Toc22605"/>
      <w:bookmarkStart w:id="112" w:name="_Toc17815"/>
      <w:r>
        <w:rPr>
          <w:rStyle w:val="19"/>
          <w:rFonts w:hint="eastAsia" w:asciiTheme="minorEastAsia" w:hAnsiTheme="minorEastAsia" w:eastAsiaTheme="minorEastAsia" w:cstheme="minorEastAsia"/>
          <w:color w:val="auto"/>
          <w:kern w:val="44"/>
          <w:sz w:val="44"/>
          <w:szCs w:val="44"/>
          <w:highlight w:val="none"/>
          <w:lang w:val="en-US" w:eastAsia="zh-CN" w:bidi="ar-SA"/>
        </w:rPr>
        <w:t>采购需求</w:t>
      </w:r>
      <w:bookmarkEnd w:id="110"/>
      <w:bookmarkEnd w:id="111"/>
      <w:bookmarkEnd w:id="112"/>
    </w:p>
    <w:p w14:paraId="3171EDF2">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前注：</w:t>
      </w:r>
    </w:p>
    <w:p w14:paraId="1F1ECF5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0F985FA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本章中标注“★”的参数为实质性参数，★条款须满足或优于招标文件要求，否则投标无效；非★条款</w:t>
      </w:r>
      <w:r>
        <w:rPr>
          <w:rFonts w:hint="eastAsia" w:asciiTheme="minorEastAsia" w:hAnsiTheme="minorEastAsia" w:eastAsiaTheme="minorEastAsia" w:cstheme="minorEastAsia"/>
          <w:color w:val="auto"/>
          <w:sz w:val="24"/>
          <w:szCs w:val="24"/>
          <w:highlight w:val="none"/>
          <w:u w:val="single"/>
          <w:lang w:val="en-US" w:eastAsia="zh-CN"/>
        </w:rPr>
        <w:t>1</w:t>
      </w:r>
      <w:r>
        <w:rPr>
          <w:rFonts w:hint="eastAsia" w:asciiTheme="minorEastAsia" w:hAnsiTheme="minorEastAsia" w:eastAsiaTheme="minorEastAsia" w:cstheme="minorEastAsia"/>
          <w:color w:val="auto"/>
          <w:sz w:val="24"/>
          <w:szCs w:val="24"/>
          <w:highlight w:val="none"/>
          <w:lang w:val="en-US" w:eastAsia="zh-CN"/>
        </w:rPr>
        <w:t>条及以上未响应的，投标无效。（本条可编辑，对条款的标注符号及符号代表的意义可由代理机构和采购人自行确定）</w:t>
      </w:r>
    </w:p>
    <w:p w14:paraId="78AF3BB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highlight w:val="none"/>
          <w:lang w:val="en-US" w:eastAsia="zh-CN"/>
        </w:rPr>
        <w:t>技术参数评审时以第六章 投标文件格式中 六、投标响应表中投标人响应承诺内容为准，如采购需求明确要求提供证明材料的，还应当提供对应证明材料。为便于评审，建议对证明材料相应内容做标记。</w:t>
      </w:r>
    </w:p>
    <w:p w14:paraId="598AE49A">
      <w:pPr>
        <w:pageBreakBefore w:val="0"/>
        <w:kinsoku/>
        <w:overflowPunct/>
        <w:topLinePunct w:val="0"/>
        <w:bidi w:val="0"/>
        <w:spacing w:line="360" w:lineRule="auto"/>
        <w:ind w:left="0" w:leftChars="0" w:right="0" w:rightChars="0" w:firstLine="437"/>
        <w:textAlignment w:val="auto"/>
        <w:outlineLvl w:val="1"/>
        <w:rPr>
          <w:rFonts w:hint="eastAsia" w:asciiTheme="minorEastAsia" w:hAnsiTheme="minorEastAsia" w:eastAsiaTheme="minorEastAsia" w:cstheme="minorEastAsia"/>
          <w:b/>
          <w:color w:val="auto"/>
          <w:sz w:val="24"/>
          <w:szCs w:val="18"/>
          <w:highlight w:val="none"/>
        </w:rPr>
      </w:pPr>
      <w:bookmarkStart w:id="113" w:name="_Toc4148"/>
      <w:bookmarkStart w:id="114" w:name="_Toc21798"/>
      <w:bookmarkStart w:id="115" w:name="_Toc16127"/>
      <w:bookmarkStart w:id="116" w:name="_Hlk23621890"/>
      <w:r>
        <w:rPr>
          <w:rFonts w:hint="eastAsia" w:asciiTheme="minorEastAsia" w:hAnsiTheme="minorEastAsia" w:eastAsiaTheme="minorEastAsia" w:cstheme="minorEastAsia"/>
          <w:b/>
          <w:color w:val="auto"/>
          <w:sz w:val="24"/>
          <w:szCs w:val="18"/>
          <w:highlight w:val="none"/>
        </w:rPr>
        <w:t>一、采购需求前附表</w:t>
      </w:r>
      <w:bookmarkEnd w:id="113"/>
      <w:bookmarkEnd w:id="114"/>
      <w:bookmarkEnd w:id="115"/>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2215"/>
        <w:gridCol w:w="5982"/>
      </w:tblGrid>
      <w:tr w14:paraId="5947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7" w:type="pct"/>
            <w:vAlign w:val="center"/>
          </w:tcPr>
          <w:p w14:paraId="31CBC7DE">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序号</w:t>
            </w:r>
          </w:p>
        </w:tc>
        <w:tc>
          <w:tcPr>
            <w:tcW w:w="1192" w:type="pct"/>
            <w:vAlign w:val="center"/>
          </w:tcPr>
          <w:p w14:paraId="4E3FA43B">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Cs w:val="0"/>
                <w:color w:val="auto"/>
                <w:sz w:val="24"/>
                <w:highlight w:val="none"/>
              </w:rPr>
            </w:pPr>
            <w:r>
              <w:rPr>
                <w:rFonts w:hint="eastAsia" w:asciiTheme="minorEastAsia" w:hAnsiTheme="minorEastAsia" w:eastAsiaTheme="minorEastAsia" w:cstheme="minorEastAsia"/>
                <w:bCs w:val="0"/>
                <w:color w:val="auto"/>
                <w:sz w:val="24"/>
                <w:highlight w:val="none"/>
              </w:rPr>
              <w:t>条款名称</w:t>
            </w:r>
          </w:p>
        </w:tc>
        <w:tc>
          <w:tcPr>
            <w:tcW w:w="3219" w:type="pct"/>
            <w:vAlign w:val="center"/>
          </w:tcPr>
          <w:p w14:paraId="125C42E5">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Cs w:val="0"/>
                <w:color w:val="auto"/>
                <w:sz w:val="24"/>
                <w:highlight w:val="none"/>
              </w:rPr>
            </w:pPr>
            <w:r>
              <w:rPr>
                <w:rFonts w:hint="eastAsia" w:asciiTheme="minorEastAsia" w:hAnsiTheme="minorEastAsia" w:eastAsiaTheme="minorEastAsia" w:cstheme="minorEastAsia"/>
                <w:bCs w:val="0"/>
                <w:color w:val="auto"/>
                <w:sz w:val="24"/>
                <w:highlight w:val="none"/>
              </w:rPr>
              <w:t>内容、说明与要求</w:t>
            </w:r>
          </w:p>
        </w:tc>
      </w:tr>
      <w:tr w14:paraId="18B7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7" w:type="pct"/>
            <w:vAlign w:val="center"/>
          </w:tcPr>
          <w:p w14:paraId="433836B8">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1</w:t>
            </w:r>
          </w:p>
        </w:tc>
        <w:tc>
          <w:tcPr>
            <w:tcW w:w="1192" w:type="pct"/>
            <w:vAlign w:val="center"/>
          </w:tcPr>
          <w:p w14:paraId="7F948B74">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付款方式</w:t>
            </w:r>
          </w:p>
        </w:tc>
        <w:tc>
          <w:tcPr>
            <w:tcW w:w="3219" w:type="pct"/>
            <w:vAlign w:val="center"/>
          </w:tcPr>
          <w:p w14:paraId="6170754A">
            <w:pPr>
              <w:pStyle w:val="20"/>
              <w:pageBreakBefore w:val="0"/>
              <w:widowControl w:val="0"/>
              <w:numPr>
                <w:ilvl w:val="0"/>
                <w:numId w:val="0"/>
              </w:numPr>
              <w:kinsoku/>
              <w:overflowPunct/>
              <w:topLinePunct w:val="0"/>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lang w:val="en-US" w:eastAsia="zh-CN" w:bidi="ar-SA"/>
              </w:rPr>
              <w:t>1.</w:t>
            </w:r>
            <w:r>
              <w:rPr>
                <w:rFonts w:hint="eastAsia" w:ascii="宋体" w:hAnsi="宋体" w:eastAsia="宋体" w:cs="宋体"/>
                <w:b w:val="0"/>
                <w:bCs w:val="0"/>
                <w:color w:val="auto"/>
                <w:sz w:val="24"/>
                <w:szCs w:val="24"/>
              </w:rPr>
              <w:t>物业服务收费遵循合理、公开以及费用与服务水平相适应的原则。本物业服务区域的物业服务收费采用包干制的方式。</w:t>
            </w:r>
            <w:r>
              <w:rPr>
                <w:rFonts w:hint="eastAsia" w:ascii="宋体" w:hAnsi="宋体" w:eastAsia="宋体" w:cs="宋体"/>
                <w:b w:val="0"/>
                <w:bCs w:val="0"/>
                <w:color w:val="auto"/>
                <w:sz w:val="24"/>
                <w:szCs w:val="24"/>
                <w:highlight w:val="none"/>
              </w:rPr>
              <w:t>即按照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文件中物业服务费具体收费标准*投标人</w:t>
            </w:r>
            <w:r>
              <w:rPr>
                <w:rFonts w:hint="eastAsia" w:ascii="宋体" w:hAnsi="宋体" w:eastAsia="宋体" w:cs="宋体"/>
                <w:b w:val="0"/>
                <w:bCs w:val="0"/>
                <w:color w:val="auto"/>
                <w:sz w:val="24"/>
                <w:szCs w:val="24"/>
                <w:highlight w:val="none"/>
                <w:lang w:val="en-US" w:eastAsia="zh-CN"/>
              </w:rPr>
              <w:t>中标</w:t>
            </w:r>
            <w:r>
              <w:rPr>
                <w:rFonts w:hint="eastAsia" w:ascii="宋体" w:hAnsi="宋体" w:eastAsia="宋体" w:cs="宋体"/>
                <w:b w:val="0"/>
                <w:bCs w:val="0"/>
                <w:color w:val="auto"/>
                <w:sz w:val="24"/>
                <w:szCs w:val="24"/>
                <w:highlight w:val="none"/>
              </w:rPr>
              <w:t>费率。预交物业费不超过半年</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可以半年收一次</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w:t>
            </w:r>
          </w:p>
          <w:p w14:paraId="40566164">
            <w:pPr>
              <w:pStyle w:val="20"/>
              <w:pageBreakBefore w:val="0"/>
              <w:widowControl w:val="0"/>
              <w:kinsoku/>
              <w:overflowPunct/>
              <w:topLinePunct w:val="0"/>
              <w:bidi w:val="0"/>
              <w:adjustRightInd/>
              <w:snapToGrid/>
              <w:spacing w:before="0" w:beforeAutospacing="0" w:after="0" w:afterAutospacing="0" w:line="360" w:lineRule="auto"/>
              <w:ind w:left="0" w:leftChars="0" w:right="0" w:rightChars="0"/>
              <w:jc w:val="left"/>
              <w:textAlignment w:val="auto"/>
              <w:rPr>
                <w:rFonts w:hint="eastAsia" w:asciiTheme="minorEastAsia" w:hAnsiTheme="minorEastAsia" w:eastAsiaTheme="minorEastAsia" w:cstheme="minorEastAsia"/>
                <w:b w:val="0"/>
                <w:color w:val="auto"/>
                <w:kern w:val="2"/>
                <w:sz w:val="24"/>
                <w:szCs w:val="20"/>
                <w:highlight w:val="none"/>
              </w:rPr>
            </w:pPr>
            <w:r>
              <w:rPr>
                <w:rFonts w:hint="eastAsia" w:ascii="宋体" w:hAnsi="宋体" w:eastAsia="宋体" w:cs="宋体"/>
                <w:b w:val="0"/>
                <w:bCs w:val="0"/>
                <w:color w:val="auto"/>
                <w:kern w:val="0"/>
                <w:sz w:val="24"/>
                <w:szCs w:val="24"/>
                <w:highlight w:val="none"/>
                <w:lang w:val="en-US" w:eastAsia="zh-CN" w:bidi="ar-SA"/>
              </w:rPr>
              <w:t>2.</w:t>
            </w:r>
            <w:r>
              <w:rPr>
                <w:rFonts w:hint="eastAsia" w:ascii="宋体" w:hAnsi="宋体" w:eastAsia="宋体" w:cs="宋体"/>
                <w:b w:val="0"/>
                <w:bCs w:val="0"/>
                <w:color w:val="auto"/>
                <w:sz w:val="24"/>
                <w:szCs w:val="24"/>
                <w:highlight w:val="none"/>
              </w:rPr>
              <w:t>物业服务费用由</w:t>
            </w:r>
            <w:r>
              <w:rPr>
                <w:rFonts w:hint="eastAsia" w:ascii="宋体" w:hAnsi="宋体" w:eastAsia="宋体" w:cs="宋体"/>
                <w:b w:val="0"/>
                <w:bCs w:val="0"/>
                <w:color w:val="auto"/>
                <w:sz w:val="24"/>
                <w:szCs w:val="24"/>
                <w:highlight w:val="none"/>
                <w:lang w:val="en-US" w:eastAsia="zh-CN"/>
              </w:rPr>
              <w:t>小区</w:t>
            </w:r>
            <w:r>
              <w:rPr>
                <w:rFonts w:hint="eastAsia" w:ascii="宋体" w:hAnsi="宋体" w:eastAsia="宋体" w:cs="宋体"/>
                <w:b w:val="0"/>
                <w:bCs w:val="0"/>
                <w:color w:val="auto"/>
                <w:sz w:val="24"/>
                <w:szCs w:val="24"/>
                <w:highlight w:val="none"/>
              </w:rPr>
              <w:t>业主按</w:t>
            </w:r>
            <w:r>
              <w:rPr>
                <w:rFonts w:hint="eastAsia" w:ascii="宋体" w:hAnsi="宋体" w:eastAsia="宋体" w:cs="宋体"/>
                <w:b w:val="0"/>
                <w:bCs w:val="0"/>
                <w:color w:val="auto"/>
                <w:sz w:val="24"/>
                <w:szCs w:val="24"/>
                <w:highlight w:val="none"/>
                <w:lang w:val="en-US" w:eastAsia="zh-CN"/>
              </w:rPr>
              <w:t>各自房产证</w:t>
            </w:r>
            <w:r>
              <w:rPr>
                <w:rFonts w:hint="eastAsia" w:ascii="宋体" w:hAnsi="宋体" w:eastAsia="宋体" w:cs="宋体"/>
                <w:b w:val="0"/>
                <w:bCs w:val="0"/>
                <w:color w:val="auto"/>
                <w:sz w:val="24"/>
                <w:szCs w:val="24"/>
                <w:highlight w:val="none"/>
              </w:rPr>
              <w:t>面积支</w:t>
            </w:r>
            <w:r>
              <w:rPr>
                <w:rFonts w:hint="eastAsia" w:ascii="宋体" w:hAnsi="宋体" w:eastAsia="宋体" w:cs="宋体"/>
                <w:b w:val="0"/>
                <w:bCs w:val="0"/>
                <w:color w:val="auto"/>
                <w:sz w:val="24"/>
                <w:szCs w:val="24"/>
              </w:rPr>
              <w:t>付。</w:t>
            </w:r>
            <w:r>
              <w:rPr>
                <w:rFonts w:hint="eastAsia" w:ascii="宋体" w:hAnsi="宋体" w:eastAsia="宋体" w:cs="宋体"/>
                <w:b w:val="0"/>
                <w:bCs w:val="0"/>
                <w:color w:val="auto"/>
                <w:sz w:val="24"/>
                <w:szCs w:val="24"/>
                <w:lang w:eastAsia="zh-CN"/>
              </w:rPr>
              <w:t>中标人</w:t>
            </w:r>
            <w:r>
              <w:rPr>
                <w:rFonts w:hint="eastAsia" w:ascii="宋体" w:hAnsi="宋体" w:eastAsia="宋体" w:cs="宋体"/>
                <w:b w:val="0"/>
                <w:bCs w:val="0"/>
                <w:color w:val="auto"/>
                <w:sz w:val="24"/>
                <w:szCs w:val="24"/>
              </w:rPr>
              <w:t>包干收取及使用，</w:t>
            </w:r>
            <w:r>
              <w:rPr>
                <w:rFonts w:hint="eastAsia" w:ascii="宋体" w:hAnsi="宋体" w:eastAsia="宋体" w:cs="宋体"/>
                <w:b w:val="0"/>
                <w:bCs w:val="0"/>
                <w:color w:val="auto"/>
                <w:sz w:val="24"/>
                <w:szCs w:val="24"/>
                <w:lang w:eastAsia="zh-CN"/>
              </w:rPr>
              <w:t>中标人</w:t>
            </w:r>
            <w:r>
              <w:rPr>
                <w:rFonts w:hint="eastAsia" w:ascii="宋体" w:hAnsi="宋体" w:eastAsia="宋体" w:cs="宋体"/>
                <w:b w:val="0"/>
                <w:bCs w:val="0"/>
                <w:color w:val="auto"/>
                <w:sz w:val="24"/>
                <w:szCs w:val="24"/>
              </w:rPr>
              <w:t>享有盈余的权益及承担亏损的责任，</w:t>
            </w:r>
            <w:r>
              <w:rPr>
                <w:rFonts w:hint="eastAsia" w:ascii="宋体" w:hAnsi="宋体" w:eastAsia="宋体" w:cs="宋体"/>
                <w:b w:val="0"/>
                <w:bCs w:val="0"/>
                <w:color w:val="auto"/>
                <w:sz w:val="24"/>
                <w:szCs w:val="24"/>
                <w:lang w:eastAsia="zh-CN"/>
              </w:rPr>
              <w:t>中标人</w:t>
            </w:r>
            <w:r>
              <w:rPr>
                <w:rFonts w:hint="eastAsia" w:ascii="宋体" w:hAnsi="宋体" w:eastAsia="宋体" w:cs="宋体"/>
                <w:b w:val="0"/>
                <w:bCs w:val="0"/>
                <w:color w:val="auto"/>
                <w:sz w:val="24"/>
                <w:szCs w:val="24"/>
              </w:rPr>
              <w:t>不得以亏损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服务优化提升等任何理由</w:t>
            </w:r>
            <w:r>
              <w:rPr>
                <w:rFonts w:hint="eastAsia" w:ascii="宋体" w:hAnsi="宋体" w:eastAsia="宋体" w:cs="宋体"/>
                <w:b w:val="0"/>
                <w:bCs w:val="0"/>
                <w:color w:val="auto"/>
                <w:sz w:val="24"/>
                <w:szCs w:val="24"/>
              </w:rPr>
              <w:t>为由要求增加费用、降低服务标准或减少服务项目</w:t>
            </w:r>
            <w:r>
              <w:rPr>
                <w:rFonts w:hint="eastAsia" w:ascii="宋体" w:hAnsi="宋体" w:eastAsia="宋体" w:cs="宋体"/>
                <w:b w:val="0"/>
                <w:bCs w:val="0"/>
                <w:color w:val="auto"/>
                <w:sz w:val="24"/>
                <w:szCs w:val="24"/>
                <w:lang w:eastAsia="zh-CN"/>
              </w:rPr>
              <w:t>。</w:t>
            </w:r>
          </w:p>
          <w:p w14:paraId="743106DA">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rPr>
            </w:pPr>
            <w:r>
              <w:rPr>
                <w:rFonts w:hint="eastAsia" w:asciiTheme="minorEastAsia" w:hAnsiTheme="minorEastAsia" w:eastAsiaTheme="minorEastAsia" w:cstheme="minorEastAsia"/>
                <w:b/>
                <w:bCs w:val="0"/>
                <w:color w:val="auto"/>
                <w:kern w:val="2"/>
                <w:sz w:val="24"/>
                <w:szCs w:val="20"/>
                <w:highlight w:val="none"/>
              </w:rPr>
              <w:t>上述要求不允许负偏离。否则，按无效</w:t>
            </w:r>
            <w:r>
              <w:rPr>
                <w:rFonts w:hint="eastAsia" w:asciiTheme="minorEastAsia" w:hAnsiTheme="minorEastAsia" w:eastAsiaTheme="minorEastAsia" w:cstheme="minorEastAsia"/>
                <w:b/>
                <w:bCs w:val="0"/>
                <w:color w:val="auto"/>
                <w:kern w:val="2"/>
                <w:sz w:val="24"/>
                <w:szCs w:val="20"/>
                <w:highlight w:val="none"/>
                <w:lang w:val="en-US" w:eastAsia="zh-CN"/>
              </w:rPr>
              <w:t>投标</w:t>
            </w:r>
            <w:r>
              <w:rPr>
                <w:rFonts w:hint="eastAsia" w:asciiTheme="minorEastAsia" w:hAnsiTheme="minorEastAsia" w:eastAsiaTheme="minorEastAsia" w:cstheme="minorEastAsia"/>
                <w:b/>
                <w:bCs w:val="0"/>
                <w:color w:val="auto"/>
                <w:kern w:val="2"/>
                <w:sz w:val="24"/>
                <w:szCs w:val="20"/>
                <w:highlight w:val="none"/>
              </w:rPr>
              <w:t>文件处理。</w:t>
            </w:r>
          </w:p>
        </w:tc>
      </w:tr>
      <w:tr w14:paraId="6FD4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7" w:type="pct"/>
            <w:vAlign w:val="center"/>
          </w:tcPr>
          <w:p w14:paraId="03CB6C8C">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2</w:t>
            </w:r>
          </w:p>
        </w:tc>
        <w:tc>
          <w:tcPr>
            <w:tcW w:w="1192" w:type="pct"/>
            <w:vAlign w:val="center"/>
          </w:tcPr>
          <w:p w14:paraId="5D31A80F">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服务地点</w:t>
            </w:r>
          </w:p>
        </w:tc>
        <w:tc>
          <w:tcPr>
            <w:tcW w:w="3219" w:type="pct"/>
            <w:vAlign w:val="center"/>
          </w:tcPr>
          <w:p w14:paraId="309D20D4">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rPr>
            </w:pPr>
            <w:r>
              <w:rPr>
                <w:rFonts w:hint="eastAsia" w:ascii="宋体" w:hAnsi="宋体" w:eastAsia="宋体" w:cs="宋体"/>
                <w:b w:val="0"/>
                <w:color w:val="auto"/>
                <w:sz w:val="24"/>
                <w:highlight w:val="none"/>
                <w:u w:val="single"/>
                <w:lang w:val="en-US" w:eastAsia="zh-CN"/>
              </w:rPr>
              <w:t>安徽省阜阳市颍州区颍西街道清河西路51号</w:t>
            </w:r>
            <w:r>
              <w:rPr>
                <w:rFonts w:hint="eastAsia" w:ascii="宋体" w:hAnsi="宋体" w:eastAsia="宋体" w:cs="宋体"/>
                <w:b w:val="0"/>
                <w:color w:val="auto"/>
                <w:sz w:val="24"/>
                <w:highlight w:val="none"/>
                <w:u w:val="single"/>
                <w:lang w:eastAsia="zh-CN"/>
              </w:rPr>
              <w:t>港利上城国际小区</w:t>
            </w:r>
          </w:p>
          <w:p w14:paraId="46C70CA1">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bCs w:val="0"/>
                <w:color w:val="auto"/>
                <w:kern w:val="2"/>
                <w:sz w:val="24"/>
                <w:szCs w:val="20"/>
                <w:highlight w:val="none"/>
              </w:rPr>
              <w:t>上述要求不允许负偏离</w:t>
            </w:r>
            <w:r>
              <w:rPr>
                <w:rFonts w:hint="eastAsia" w:asciiTheme="minorEastAsia" w:hAnsiTheme="minorEastAsia" w:eastAsiaTheme="minorEastAsia" w:cstheme="minorEastAsia"/>
                <w:b/>
                <w:bCs w:val="0"/>
                <w:color w:val="auto"/>
                <w:kern w:val="2"/>
                <w:sz w:val="24"/>
                <w:szCs w:val="20"/>
                <w:highlight w:val="none"/>
                <w:lang w:eastAsia="zh-CN"/>
              </w:rPr>
              <w:t>，</w:t>
            </w:r>
            <w:r>
              <w:rPr>
                <w:rFonts w:hint="eastAsia" w:asciiTheme="minorEastAsia" w:hAnsiTheme="minorEastAsia" w:eastAsiaTheme="minorEastAsia" w:cstheme="minorEastAsia"/>
                <w:b/>
                <w:bCs w:val="0"/>
                <w:color w:val="auto"/>
                <w:kern w:val="2"/>
                <w:sz w:val="24"/>
                <w:szCs w:val="20"/>
                <w:highlight w:val="none"/>
              </w:rPr>
              <w:t>否则，按无效</w:t>
            </w:r>
            <w:r>
              <w:rPr>
                <w:rFonts w:hint="eastAsia" w:asciiTheme="minorEastAsia" w:hAnsiTheme="minorEastAsia" w:eastAsiaTheme="minorEastAsia" w:cstheme="minorEastAsia"/>
                <w:b/>
                <w:bCs w:val="0"/>
                <w:color w:val="auto"/>
                <w:kern w:val="2"/>
                <w:sz w:val="24"/>
                <w:szCs w:val="20"/>
                <w:highlight w:val="none"/>
                <w:lang w:val="en-US" w:eastAsia="zh-CN"/>
              </w:rPr>
              <w:t>投标文件</w:t>
            </w:r>
            <w:r>
              <w:rPr>
                <w:rFonts w:hint="eastAsia" w:asciiTheme="minorEastAsia" w:hAnsiTheme="minorEastAsia" w:eastAsiaTheme="minorEastAsia" w:cstheme="minorEastAsia"/>
                <w:b/>
                <w:bCs w:val="0"/>
                <w:color w:val="auto"/>
                <w:kern w:val="2"/>
                <w:sz w:val="24"/>
                <w:szCs w:val="20"/>
                <w:highlight w:val="none"/>
              </w:rPr>
              <w:t>处理。</w:t>
            </w:r>
          </w:p>
        </w:tc>
      </w:tr>
      <w:tr w14:paraId="3A1F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7" w:type="pct"/>
            <w:vAlign w:val="center"/>
          </w:tcPr>
          <w:p w14:paraId="1EF762D1">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rPr>
            </w:pPr>
            <w:r>
              <w:rPr>
                <w:rFonts w:hint="eastAsia" w:asciiTheme="minorEastAsia" w:hAnsiTheme="minorEastAsia" w:eastAsiaTheme="minorEastAsia" w:cstheme="minorEastAsia"/>
                <w:bCs/>
                <w:color w:val="auto"/>
                <w:kern w:val="2"/>
                <w:highlight w:val="none"/>
              </w:rPr>
              <w:t>3</w:t>
            </w:r>
          </w:p>
        </w:tc>
        <w:tc>
          <w:tcPr>
            <w:tcW w:w="1192" w:type="pct"/>
            <w:vAlign w:val="center"/>
          </w:tcPr>
          <w:p w14:paraId="4AC5ABE6">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服务期限</w:t>
            </w:r>
          </w:p>
        </w:tc>
        <w:tc>
          <w:tcPr>
            <w:tcW w:w="3219" w:type="pct"/>
            <w:vAlign w:val="center"/>
          </w:tcPr>
          <w:p w14:paraId="003EAE5D">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u w:val="single"/>
              </w:rPr>
            </w:pPr>
            <w:r>
              <w:rPr>
                <w:rFonts w:hint="eastAsia" w:ascii="宋体" w:hAnsi="宋体" w:eastAsia="宋体" w:cs="宋体"/>
                <w:b w:val="0"/>
                <w:sz w:val="24"/>
                <w:szCs w:val="24"/>
              </w:rPr>
              <w:t>1+1+1年；合同一年一签，</w:t>
            </w:r>
            <w:r>
              <w:rPr>
                <w:rFonts w:hint="eastAsia" w:ascii="宋体" w:hAnsi="宋体" w:eastAsia="宋体" w:cs="宋体"/>
                <w:b w:val="0"/>
                <w:sz w:val="24"/>
                <w:szCs w:val="24"/>
                <w:lang w:eastAsia="zh-CN"/>
              </w:rPr>
              <w:t>中标人</w:t>
            </w:r>
            <w:r>
              <w:rPr>
                <w:rFonts w:hint="eastAsia" w:ascii="宋体" w:hAnsi="宋体" w:eastAsia="宋体" w:cs="宋体"/>
                <w:b w:val="0"/>
                <w:sz w:val="24"/>
                <w:szCs w:val="24"/>
              </w:rPr>
              <w:t>每年服务期满后，由业主委员会进行服务质量考核，考核达标可续签下一年合同，收费标准保持不变，以此类推</w:t>
            </w:r>
            <w:r>
              <w:rPr>
                <w:rFonts w:hint="eastAsia" w:ascii="宋体" w:hAnsi="宋体" w:eastAsia="宋体" w:cs="宋体"/>
                <w:b w:val="0"/>
                <w:sz w:val="24"/>
                <w:szCs w:val="24"/>
                <w:lang w:val="en-US" w:eastAsia="zh-CN"/>
              </w:rPr>
              <w:t>至第三年；考核不达标采购人有权终止合同。</w:t>
            </w:r>
            <w:r>
              <w:rPr>
                <w:rFonts w:hint="eastAsia" w:ascii="宋体" w:hAnsi="宋体" w:eastAsia="宋体" w:cs="宋体"/>
                <w:b w:val="0"/>
                <w:sz w:val="24"/>
                <w:szCs w:val="24"/>
              </w:rPr>
              <w:t>具体以实际交接及考核结果为准。</w:t>
            </w:r>
            <w:r>
              <w:rPr>
                <w:rFonts w:hint="eastAsia" w:ascii="宋体" w:hAnsi="宋体" w:eastAsia="宋体" w:cs="宋体"/>
                <w:b w:val="0"/>
                <w:sz w:val="24"/>
                <w:szCs w:val="24"/>
                <w:lang w:val="en-US" w:eastAsia="zh-CN"/>
              </w:rPr>
              <w:t>三年</w:t>
            </w:r>
            <w:r>
              <w:rPr>
                <w:rFonts w:hint="eastAsia" w:ascii="宋体" w:hAnsi="宋体" w:eastAsia="宋体" w:cs="宋体"/>
                <w:b w:val="0"/>
                <w:sz w:val="24"/>
                <w:szCs w:val="24"/>
              </w:rPr>
              <w:t>物业服务合同期限届满，</w:t>
            </w:r>
            <w:r>
              <w:rPr>
                <w:rFonts w:hint="eastAsia" w:ascii="宋体" w:hAnsi="宋体" w:eastAsia="宋体" w:cs="宋体"/>
                <w:b w:val="0"/>
                <w:sz w:val="24"/>
                <w:szCs w:val="24"/>
                <w:lang w:val="en-US" w:eastAsia="zh-CN"/>
              </w:rPr>
              <w:t>根据业主大会表决结果确定是否续签合同，若表决不续签则合同终止。若</w:t>
            </w:r>
            <w:r>
              <w:rPr>
                <w:rFonts w:hint="eastAsia" w:ascii="宋体" w:hAnsi="宋体" w:eastAsia="宋体" w:cs="宋体"/>
                <w:b w:val="0"/>
                <w:sz w:val="24"/>
                <w:szCs w:val="24"/>
              </w:rPr>
              <w:t>业主大会没有完成选聘工作且成交人按照原合同约定继续提供服务的，在物业服务标准和服务费不变的前提下，属于事实服务关系，物业服务合同的期限截止到业主大会完成</w:t>
            </w:r>
            <w:r>
              <w:rPr>
                <w:rFonts w:hint="eastAsia" w:ascii="宋体" w:hAnsi="宋体" w:eastAsia="宋体" w:cs="宋体"/>
                <w:b w:val="0"/>
                <w:sz w:val="24"/>
                <w:szCs w:val="24"/>
                <w:lang w:val="en-US" w:eastAsia="zh-CN"/>
              </w:rPr>
              <w:t>新的业主委员会选举</w:t>
            </w:r>
            <w:r>
              <w:rPr>
                <w:rFonts w:hint="eastAsia" w:ascii="宋体" w:hAnsi="宋体" w:eastAsia="宋体" w:cs="宋体"/>
                <w:b w:val="0"/>
                <w:sz w:val="24"/>
                <w:szCs w:val="24"/>
              </w:rPr>
              <w:t>或</w:t>
            </w:r>
            <w:r>
              <w:rPr>
                <w:rFonts w:hint="eastAsia" w:ascii="宋体" w:hAnsi="宋体" w:eastAsia="宋体" w:cs="宋体"/>
                <w:b w:val="0"/>
                <w:sz w:val="24"/>
                <w:szCs w:val="24"/>
                <w:lang w:val="en-US" w:eastAsia="zh-CN"/>
              </w:rPr>
              <w:t>选取</w:t>
            </w:r>
            <w:r>
              <w:rPr>
                <w:rFonts w:hint="eastAsia" w:ascii="宋体" w:hAnsi="宋体" w:eastAsia="宋体" w:cs="宋体"/>
                <w:b w:val="0"/>
                <w:sz w:val="24"/>
                <w:szCs w:val="24"/>
              </w:rPr>
              <w:t>出新</w:t>
            </w:r>
            <w:r>
              <w:rPr>
                <w:rFonts w:hint="eastAsia" w:ascii="宋体" w:hAnsi="宋体" w:eastAsia="宋体" w:cs="宋体"/>
                <w:b w:val="0"/>
                <w:sz w:val="24"/>
                <w:szCs w:val="24"/>
                <w:lang w:val="en-US" w:eastAsia="zh-CN"/>
              </w:rPr>
              <w:t>的中标（成交）供应商并</w:t>
            </w:r>
            <w:r>
              <w:rPr>
                <w:rFonts w:hint="eastAsia" w:ascii="宋体" w:hAnsi="宋体" w:eastAsia="宋体" w:cs="宋体"/>
                <w:b w:val="0"/>
                <w:sz w:val="24"/>
                <w:szCs w:val="24"/>
              </w:rPr>
              <w:t>完成交接</w:t>
            </w:r>
            <w:r>
              <w:rPr>
                <w:rFonts w:hint="eastAsia" w:ascii="宋体" w:hAnsi="宋体" w:eastAsia="宋体" w:cs="宋体"/>
                <w:b w:val="0"/>
                <w:sz w:val="24"/>
                <w:szCs w:val="24"/>
                <w:lang w:val="en-US" w:eastAsia="zh-CN"/>
              </w:rPr>
              <w:t>和</w:t>
            </w:r>
            <w:r>
              <w:rPr>
                <w:rFonts w:hint="eastAsia" w:ascii="宋体" w:hAnsi="宋体" w:eastAsia="宋体" w:cs="宋体"/>
                <w:b w:val="0"/>
                <w:sz w:val="24"/>
                <w:szCs w:val="24"/>
              </w:rPr>
              <w:t>勘验无误后止。</w:t>
            </w:r>
          </w:p>
          <w:p w14:paraId="57AC3A05">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bCs w:val="0"/>
                <w:color w:val="auto"/>
                <w:kern w:val="2"/>
                <w:sz w:val="24"/>
                <w:szCs w:val="20"/>
                <w:highlight w:val="none"/>
              </w:rPr>
              <w:t>上述要求不允许负偏离</w:t>
            </w:r>
            <w:r>
              <w:rPr>
                <w:rFonts w:hint="eastAsia" w:asciiTheme="minorEastAsia" w:hAnsiTheme="minorEastAsia" w:eastAsiaTheme="minorEastAsia" w:cstheme="minorEastAsia"/>
                <w:b/>
                <w:bCs w:val="0"/>
                <w:color w:val="auto"/>
                <w:kern w:val="2"/>
                <w:sz w:val="24"/>
                <w:szCs w:val="20"/>
                <w:highlight w:val="none"/>
                <w:lang w:eastAsia="zh-CN"/>
              </w:rPr>
              <w:t>，</w:t>
            </w:r>
            <w:r>
              <w:rPr>
                <w:rFonts w:hint="eastAsia" w:asciiTheme="minorEastAsia" w:hAnsiTheme="minorEastAsia" w:eastAsiaTheme="minorEastAsia" w:cstheme="minorEastAsia"/>
                <w:b/>
                <w:bCs w:val="0"/>
                <w:color w:val="auto"/>
                <w:kern w:val="2"/>
                <w:sz w:val="24"/>
                <w:szCs w:val="20"/>
                <w:highlight w:val="none"/>
              </w:rPr>
              <w:t>否则，按无效</w:t>
            </w:r>
            <w:r>
              <w:rPr>
                <w:rFonts w:hint="eastAsia" w:asciiTheme="minorEastAsia" w:hAnsiTheme="minorEastAsia" w:eastAsiaTheme="minorEastAsia" w:cstheme="minorEastAsia"/>
                <w:b/>
                <w:bCs w:val="0"/>
                <w:color w:val="auto"/>
                <w:kern w:val="2"/>
                <w:sz w:val="24"/>
                <w:szCs w:val="20"/>
                <w:highlight w:val="none"/>
                <w:lang w:val="en-US" w:eastAsia="zh-CN"/>
              </w:rPr>
              <w:t>投标文件</w:t>
            </w:r>
            <w:r>
              <w:rPr>
                <w:rFonts w:hint="eastAsia" w:asciiTheme="minorEastAsia" w:hAnsiTheme="minorEastAsia" w:eastAsiaTheme="minorEastAsia" w:cstheme="minorEastAsia"/>
                <w:b/>
                <w:bCs w:val="0"/>
                <w:color w:val="auto"/>
                <w:kern w:val="2"/>
                <w:sz w:val="24"/>
                <w:szCs w:val="20"/>
                <w:highlight w:val="none"/>
              </w:rPr>
              <w:t>处理。</w:t>
            </w:r>
          </w:p>
        </w:tc>
      </w:tr>
      <w:tr w14:paraId="4EE9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7" w:type="pct"/>
            <w:vAlign w:val="center"/>
          </w:tcPr>
          <w:p w14:paraId="312A9345">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r>
              <w:rPr>
                <w:rFonts w:hint="eastAsia" w:asciiTheme="minorEastAsia" w:hAnsiTheme="minorEastAsia" w:eastAsiaTheme="minorEastAsia" w:cstheme="minorEastAsia"/>
                <w:bCs/>
                <w:color w:val="auto"/>
                <w:kern w:val="2"/>
                <w:highlight w:val="none"/>
                <w:lang w:val="en-US" w:eastAsia="zh-CN"/>
              </w:rPr>
              <w:t>4</w:t>
            </w:r>
          </w:p>
        </w:tc>
        <w:tc>
          <w:tcPr>
            <w:tcW w:w="1192" w:type="pct"/>
            <w:vAlign w:val="center"/>
          </w:tcPr>
          <w:p w14:paraId="6B4FB2DA">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i w:val="0"/>
                <w:iCs w:val="0"/>
                <w:color w:val="auto"/>
                <w:sz w:val="24"/>
                <w:highlight w:val="none"/>
              </w:rPr>
              <w:t>本项目采购标的名称、所属行业及其他内容</w:t>
            </w:r>
          </w:p>
        </w:tc>
        <w:tc>
          <w:tcPr>
            <w:tcW w:w="3219" w:type="pct"/>
            <w:vAlign w:val="center"/>
          </w:tcPr>
          <w:p w14:paraId="039A52CD">
            <w:pPr>
              <w:spacing w:line="360" w:lineRule="auto"/>
              <w:rPr>
                <w:rFonts w:hint="eastAsia" w:ascii="宋体" w:hAnsi="宋体" w:eastAsia="宋体" w:cs="宋体"/>
                <w:sz w:val="24"/>
                <w:szCs w:val="24"/>
              </w:rPr>
            </w:pPr>
            <w:r>
              <w:rPr>
                <w:rFonts w:hint="eastAsia" w:ascii="宋体" w:hAnsi="宋体" w:eastAsia="宋体" w:cs="宋体"/>
                <w:sz w:val="24"/>
                <w:szCs w:val="24"/>
              </w:rPr>
              <w:t>标的名称：港利上城国际物业服务采购项目</w:t>
            </w:r>
          </w:p>
          <w:p w14:paraId="54E3C124">
            <w:pPr>
              <w:spacing w:line="360" w:lineRule="auto"/>
              <w:rPr>
                <w:rFonts w:hint="eastAsia" w:ascii="宋体" w:hAnsi="宋体" w:eastAsia="宋体" w:cs="宋体"/>
                <w:sz w:val="24"/>
                <w:szCs w:val="24"/>
              </w:rPr>
            </w:pPr>
            <w:r>
              <w:rPr>
                <w:rFonts w:hint="eastAsia" w:ascii="宋体" w:hAnsi="宋体" w:eastAsia="宋体" w:cs="宋体"/>
                <w:sz w:val="24"/>
                <w:szCs w:val="24"/>
              </w:rPr>
              <w:t>所属行业：物业管理</w:t>
            </w:r>
          </w:p>
          <w:p w14:paraId="29E57A08">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rPr>
              <w:t>服务要求：</w:t>
            </w:r>
            <w:r>
              <w:rPr>
                <w:rFonts w:hint="eastAsia" w:ascii="宋体" w:hAnsi="宋体" w:eastAsia="宋体" w:cs="宋体"/>
                <w:sz w:val="24"/>
                <w:szCs w:val="24"/>
                <w:lang w:val="en-US" w:eastAsia="zh-CN"/>
              </w:rPr>
              <w:t>符合采购文件及采购人要求</w:t>
            </w:r>
          </w:p>
          <w:p w14:paraId="080E87B2">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highlight w:val="none"/>
                <w:lang w:val="en-US" w:eastAsia="zh-CN"/>
              </w:rPr>
            </w:pPr>
            <w:r>
              <w:rPr>
                <w:rFonts w:hint="eastAsia" w:ascii="宋体" w:hAnsi="宋体" w:eastAsia="宋体" w:cs="宋体"/>
                <w:sz w:val="24"/>
                <w:szCs w:val="24"/>
              </w:rPr>
              <w:t>服务标准：</w:t>
            </w:r>
            <w:r>
              <w:rPr>
                <w:rFonts w:hint="eastAsia" w:ascii="宋体" w:hAnsi="宋体" w:eastAsia="宋体" w:cs="宋体"/>
                <w:sz w:val="24"/>
                <w:szCs w:val="24"/>
                <w:lang w:val="en-US" w:eastAsia="zh-CN"/>
              </w:rPr>
              <w:t>符合采购文件及采购人要求</w:t>
            </w:r>
          </w:p>
        </w:tc>
      </w:tr>
      <w:tr w14:paraId="0C2C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7" w:type="pct"/>
            <w:vAlign w:val="center"/>
          </w:tcPr>
          <w:p w14:paraId="77E19EBB">
            <w:pPr>
              <w:pStyle w:val="21"/>
              <w:pageBreakBefore w:val="0"/>
              <w:pBdr>
                <w:bottom w:val="none" w:color="auto" w:sz="0" w:space="0"/>
              </w:pBdr>
              <w:tabs>
                <w:tab w:val="clear" w:pos="4153"/>
                <w:tab w:val="clear" w:pos="8306"/>
              </w:tabs>
              <w:kinsoku/>
              <w:overflowPunct/>
              <w:topLinePunct w:val="0"/>
              <w:bidi w:val="0"/>
              <w:adjustRightInd/>
              <w:spacing w:line="360" w:lineRule="auto"/>
              <w:ind w:left="0" w:leftChars="0" w:right="0" w:rightChars="0"/>
              <w:textAlignment w:val="auto"/>
              <w:rPr>
                <w:rFonts w:hint="eastAsia" w:asciiTheme="minorEastAsia" w:hAnsiTheme="minorEastAsia" w:eastAsiaTheme="minorEastAsia" w:cstheme="minorEastAsia"/>
                <w:bCs/>
                <w:color w:val="auto"/>
                <w:kern w:val="2"/>
                <w:highlight w:val="none"/>
                <w:lang w:val="en-US" w:eastAsia="zh-CN"/>
              </w:rPr>
            </w:pPr>
          </w:p>
        </w:tc>
        <w:tc>
          <w:tcPr>
            <w:tcW w:w="1192" w:type="pct"/>
            <w:vAlign w:val="center"/>
          </w:tcPr>
          <w:p w14:paraId="48816943">
            <w:pPr>
              <w:pStyle w:val="20"/>
              <w:pageBreakBefore w:val="0"/>
              <w:widowControl w:val="0"/>
              <w:kinsoku/>
              <w:overflowPunct/>
              <w:topLinePunct w:val="0"/>
              <w:bidi w:val="0"/>
              <w:spacing w:before="0" w:beforeAutospacing="0" w:after="0" w:afterAutospacing="0" w:line="360" w:lineRule="auto"/>
              <w:ind w:left="0" w:leftChars="0" w:right="0" w:rightChars="0"/>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t>……</w:t>
            </w:r>
          </w:p>
        </w:tc>
        <w:tc>
          <w:tcPr>
            <w:tcW w:w="3219" w:type="pct"/>
            <w:vAlign w:val="center"/>
          </w:tcPr>
          <w:p w14:paraId="06FF71B6">
            <w:pPr>
              <w:pStyle w:val="20"/>
              <w:pageBreakBefore w:val="0"/>
              <w:widowControl w:val="0"/>
              <w:kinsoku/>
              <w:overflowPunct/>
              <w:topLinePunct w:val="0"/>
              <w:bidi w:val="0"/>
              <w:spacing w:before="0" w:beforeAutospacing="0" w:after="0" w:afterAutospacing="0" w:line="360" w:lineRule="auto"/>
              <w:ind w:left="0" w:leftChars="0" w:right="0" w:rightChars="0"/>
              <w:jc w:val="both"/>
              <w:textAlignment w:val="auto"/>
              <w:rPr>
                <w:rFonts w:hint="eastAsia" w:asciiTheme="minorEastAsia" w:hAnsiTheme="minorEastAsia" w:eastAsiaTheme="minorEastAsia" w:cstheme="minorEastAsia"/>
                <w:b w:val="0"/>
                <w:color w:val="auto"/>
                <w:sz w:val="24"/>
                <w:highlight w:val="none"/>
              </w:rPr>
            </w:pPr>
          </w:p>
        </w:tc>
      </w:tr>
    </w:tbl>
    <w:p w14:paraId="5D25A49B">
      <w:pPr>
        <w:pageBreakBefore w:val="0"/>
        <w:numPr>
          <w:ilvl w:val="0"/>
          <w:numId w:val="0"/>
        </w:numPr>
        <w:kinsoku/>
        <w:overflowPunct/>
        <w:topLinePunct w:val="0"/>
        <w:bidi w:val="0"/>
        <w:spacing w:line="360" w:lineRule="auto"/>
        <w:ind w:left="0" w:leftChars="0" w:right="0" w:rightChars="0"/>
        <w:textAlignment w:val="auto"/>
        <w:outlineLvl w:val="9"/>
        <w:rPr>
          <w:rFonts w:hint="eastAsia" w:asciiTheme="minorEastAsia" w:hAnsiTheme="minorEastAsia" w:eastAsiaTheme="minorEastAsia" w:cstheme="minorEastAsia"/>
          <w:b/>
          <w:color w:val="auto"/>
          <w:sz w:val="24"/>
          <w:szCs w:val="18"/>
          <w:highlight w:val="none"/>
          <w:lang w:val="en-US" w:eastAsia="zh-CN"/>
        </w:rPr>
      </w:pPr>
      <w:bookmarkStart w:id="117" w:name="_Toc16543"/>
      <w:bookmarkStart w:id="118" w:name="_Hlk16461016"/>
    </w:p>
    <w:bookmarkEnd w:id="117"/>
    <w:p w14:paraId="79734091">
      <w:pPr>
        <w:spacing w:line="360" w:lineRule="auto"/>
        <w:ind w:firstLine="437"/>
        <w:jc w:val="center"/>
        <w:outlineLvl w:val="1"/>
        <w:rPr>
          <w:rFonts w:ascii="宋体" w:hAnsi="宋体" w:eastAsia="宋体" w:cs="宋体"/>
          <w:b/>
          <w:sz w:val="32"/>
          <w:szCs w:val="21"/>
        </w:rPr>
      </w:pPr>
      <w:bookmarkStart w:id="119" w:name="_Toc23116"/>
      <w:bookmarkStart w:id="120" w:name="_Toc5538"/>
      <w:bookmarkStart w:id="121" w:name="_Toc25144"/>
      <w:r>
        <w:rPr>
          <w:rFonts w:hint="eastAsia" w:ascii="宋体" w:hAnsi="宋体" w:eastAsia="宋体" w:cs="宋体"/>
          <w:b/>
          <w:sz w:val="32"/>
          <w:szCs w:val="21"/>
        </w:rPr>
        <w:t>二、项目概况</w:t>
      </w:r>
      <w:bookmarkEnd w:id="119"/>
      <w:bookmarkEnd w:id="120"/>
      <w:bookmarkEnd w:id="121"/>
    </w:p>
    <w:p w14:paraId="4A30B88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1.项目名称：港利上城国际小区物业服务采购项目</w:t>
      </w:r>
    </w:p>
    <w:p w14:paraId="113613A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2.项目地址：安徽省阜阳市颍西街道清河西路51号港利上城国际小区</w:t>
      </w:r>
    </w:p>
    <w:p w14:paraId="62414AE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3.基本情况：</w:t>
      </w:r>
    </w:p>
    <w:p w14:paraId="3CE1FB1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总建筑面积约360879.42㎡，多层住宅面积约110291.64㎡，高层住宅面积约177463.89㎡，独立式住宅（别墅）面积约15044.88㎡，商业（办公）面积约8322.61㎡，幼儿园和小学建筑面积约4039.20㎡，地下车库建筑面积约45039.48㎡，物业服务用房建筑面积约677.72㎡。</w:t>
      </w:r>
    </w:p>
    <w:p w14:paraId="57492488">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（2）总户数：2750户，住宅共计52栋124个单元，电梯数量：52部。</w:t>
      </w:r>
    </w:p>
    <w:p w14:paraId="61658A03">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（3）车位情况：地上车位130辆，地下车位1032辆（含人防）。</w:t>
      </w:r>
    </w:p>
    <w:p w14:paraId="227A637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（4）小区绿化率36%。</w:t>
      </w:r>
    </w:p>
    <w:p w14:paraId="4F7B2DF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FF0000"/>
          <w:sz w:val="24"/>
          <w:szCs w:val="24"/>
          <w:highlight w:val="none"/>
          <w:lang w:val="en-US" w:eastAsia="zh-CN"/>
        </w:rPr>
      </w:pPr>
      <w:r>
        <w:rPr>
          <w:rFonts w:hint="eastAsia" w:ascii="宋体" w:hAnsi="宋体" w:eastAsia="宋体" w:cs="宋体"/>
          <w:b w:val="0"/>
          <w:bCs/>
          <w:i w:val="0"/>
          <w:iCs w:val="0"/>
          <w:color w:val="auto"/>
          <w:spacing w:val="5"/>
          <w:kern w:val="0"/>
          <w:sz w:val="24"/>
          <w:szCs w:val="24"/>
          <w:highlight w:val="none"/>
          <w:lang w:val="en-US" w:eastAsia="zh-CN" w:bidi="ar"/>
        </w:rPr>
        <w:t>（5）地</w:t>
      </w:r>
      <w:r>
        <w:rPr>
          <w:rFonts w:hint="eastAsia" w:ascii="宋体" w:hAnsi="宋体" w:eastAsia="宋体" w:cs="宋体"/>
          <w:color w:val="auto"/>
          <w:sz w:val="24"/>
          <w:szCs w:val="24"/>
          <w:highlight w:val="none"/>
          <w:lang w:val="en-US" w:eastAsia="zh-CN"/>
        </w:rPr>
        <w:t>面车位：长期租赁的固定车位按120元/月/位的标准收取停车服务费。</w:t>
      </w:r>
    </w:p>
    <w:p w14:paraId="28AB5CA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（6）地下车库：业主拥有使用权或长期租赁的固定车位，车位使用人按30元/位/月的标准向中标人交纳停车管理服务费。</w:t>
      </w:r>
    </w:p>
    <w:p w14:paraId="5243A226">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highlight w:val="none"/>
          <w:lang w:val="en-US" w:eastAsia="zh-CN"/>
        </w:rPr>
        <w:t>（7）中央消防监控室：1处。</w:t>
      </w:r>
    </w:p>
    <w:p w14:paraId="213581FC">
      <w:pPr>
        <w:keepNext w:val="0"/>
        <w:keepLines w:val="0"/>
        <w:pageBreakBefore w:val="0"/>
        <w:widowControl w:val="0"/>
        <w:kinsoku/>
        <w:wordWrap/>
        <w:overflowPunct/>
        <w:topLinePunct w:val="0"/>
        <w:autoSpaceDE/>
        <w:autoSpaceDN/>
        <w:bidi w:val="0"/>
        <w:adjustRightInd w:val="0"/>
        <w:snapToGrid w:val="0"/>
        <w:spacing w:line="360" w:lineRule="auto"/>
        <w:ind w:left="0" w:leftChars="0"/>
        <w:textAlignment w:val="auto"/>
        <w:rPr>
          <w:rFonts w:hint="eastAsia" w:ascii="宋体" w:hAnsi="宋体" w:eastAsia="宋体" w:cs="宋体"/>
          <w:b/>
          <w:sz w:val="24"/>
          <w:szCs w:val="24"/>
        </w:rPr>
      </w:pPr>
    </w:p>
    <w:p w14:paraId="0D171FE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37"/>
        <w:jc w:val="center"/>
        <w:textAlignment w:val="auto"/>
        <w:outlineLvl w:val="1"/>
        <w:rPr>
          <w:rFonts w:hint="eastAsia" w:ascii="宋体" w:hAnsi="宋体" w:eastAsia="宋体" w:cs="宋体"/>
          <w:b/>
          <w:sz w:val="24"/>
          <w:szCs w:val="24"/>
        </w:rPr>
      </w:pPr>
      <w:bookmarkStart w:id="122" w:name="_Toc22423"/>
      <w:bookmarkStart w:id="123" w:name="_Toc21757"/>
      <w:bookmarkStart w:id="124" w:name="_Toc8586"/>
      <w:r>
        <w:rPr>
          <w:rFonts w:hint="eastAsia" w:ascii="宋体" w:hAnsi="宋体" w:eastAsia="宋体" w:cs="宋体"/>
          <w:b/>
          <w:sz w:val="24"/>
          <w:szCs w:val="24"/>
        </w:rPr>
        <w:t>三、服务需求</w:t>
      </w:r>
      <w:bookmarkEnd w:id="122"/>
      <w:bookmarkEnd w:id="123"/>
      <w:bookmarkEnd w:id="124"/>
    </w:p>
    <w:p w14:paraId="558E895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（一）服务范围</w:t>
      </w:r>
    </w:p>
    <w:p w14:paraId="4960613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本次采购范围为本小区物业管理服务，按安徽省《住宅物业服务标准》（DB34/T 5000-2026）和阜阳市相关标准中2级B类物业服务标准执行，此标准具体内容详见法规规定。具体服务内容包括但不限于以下内容：</w:t>
      </w:r>
    </w:p>
    <w:p w14:paraId="77E5572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1.物业管理区域内房屋建筑主体、共用部位的维修、养护和管理；</w:t>
      </w:r>
    </w:p>
    <w:p w14:paraId="008FCCF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物业共用设施设备（包含但不限于墙体、门窗、配套用房、水箱、电梯、监控、消防、供电、道排、智能化、综合管网、健身器材、护栏、路灯、绿化、地库设施、机动车位、非机动车库等各类相关设施设备）的运行、维修、养护和管理，但根据法律规定或相关合同约定中标人不需承担义务的设施设备或根据相关合同约定由专业单位维修、养护的设施设备除外。（现有已损坏的设备设施和本次中标人无关，但需中标人配合业委会利用公共维修基金或者公共收益维修更换，具体情况以承接查验为主，承接查验时跟中标人无关的首次维修费由采购人承担，此后的维修中，1000元以下的</w:t>
      </w:r>
      <w:r>
        <w:rPr>
          <w:rFonts w:hint="eastAsia" w:ascii="宋体" w:hAnsi="宋体" w:eastAsia="宋体" w:cs="宋体"/>
          <w:b/>
          <w:bCs/>
          <w:color w:val="auto"/>
          <w:sz w:val="24"/>
          <w:szCs w:val="24"/>
          <w:highlight w:val="none"/>
          <w:lang w:val="en-US" w:eastAsia="zh-CN"/>
        </w:rPr>
        <w:t>单项</w:t>
      </w:r>
      <w:r>
        <w:rPr>
          <w:rFonts w:hint="eastAsia" w:ascii="宋体" w:hAnsi="宋体" w:eastAsia="宋体" w:cs="宋体"/>
          <w:color w:val="auto"/>
          <w:sz w:val="24"/>
          <w:szCs w:val="24"/>
          <w:highlight w:val="none"/>
          <w:lang w:val="en-US" w:eastAsia="zh-CN"/>
        </w:rPr>
        <w:t>小额维修费用由中标人承担。</w:t>
      </w:r>
      <w:r>
        <w:rPr>
          <w:rFonts w:hint="eastAsia" w:ascii="宋体" w:hAnsi="宋体" w:eastAsia="宋体" w:cs="宋体"/>
          <w:b/>
          <w:bCs/>
          <w:color w:val="auto"/>
          <w:sz w:val="24"/>
          <w:szCs w:val="24"/>
          <w:highlight w:val="none"/>
          <w:lang w:val="en-US" w:eastAsia="zh-CN"/>
        </w:rPr>
        <w:t>1000元临界值小额维修费用具体金额的判定：从业委会在各大群征集报价及物业公司报价中选出价格最低的人员或维修公司，价格在1000元以内的即认定属于1000元以下的小额维修。</w:t>
      </w:r>
      <w:r>
        <w:rPr>
          <w:rFonts w:hint="eastAsia" w:ascii="宋体" w:hAnsi="宋体" w:eastAsia="宋体" w:cs="宋体"/>
          <w:color w:val="auto"/>
          <w:sz w:val="24"/>
          <w:szCs w:val="24"/>
          <w:highlight w:val="none"/>
          <w:lang w:val="en-US" w:eastAsia="zh-CN"/>
        </w:rPr>
        <w:t>）</w:t>
      </w:r>
    </w:p>
    <w:p w14:paraId="0820ADA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3.受业主或使用人委托的房屋自用部位、自用设备的维修和养护。</w:t>
      </w:r>
    </w:p>
    <w:p w14:paraId="1FD07F3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物业共用部位、道路和相关场地的清洁卫生，包括但不限于清理楼道乱堆乱放、私占公共空间的杂物和自行车等，生活、建筑等各类垃圾的收集、清运，雨、污水管道的疏通，高层蓄水池的清理和化粪池清理及定期消杀卫生。</w:t>
      </w:r>
    </w:p>
    <w:p w14:paraId="6BEB4A1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5.业主共有的公共绿化的养护和管理。</w:t>
      </w:r>
    </w:p>
    <w:p w14:paraId="174E3F8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6.物业管理区域交通、车辆行驶和车辆停放管理，专人负责管理下班后机动车辆双侧乱停，堵占道路影响通行问题。中标人必须保证地下车库的正常使用，用于居民日常停车，禁止挪用。</w:t>
      </w:r>
    </w:p>
    <w:p w14:paraId="6F9CEF8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7.公共秩序维护、安全防范（含监控设备的维护）等事项的管理，对小区管理区域的违法建设及时制止、报告、监管。</w:t>
      </w:r>
    </w:p>
    <w:p w14:paraId="6E9E254D">
      <w:pPr>
        <w:pStyle w:val="5"/>
        <w:keepNext w:val="0"/>
        <w:keepLines w:val="0"/>
        <w:pageBreakBefore w:val="0"/>
        <w:widowControl w:val="0"/>
        <w:numPr>
          <w:ilvl w:val="0"/>
          <w:numId w:val="0"/>
        </w:numPr>
        <w:tabs>
          <w:tab w:val="left" w:pos="3744"/>
        </w:tabs>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8.装饰装修管理服务，做好小区业主入住管理和装修管理工作，对住户装修进行监督，签订装修管理协议。</w:t>
      </w:r>
    </w:p>
    <w:p w14:paraId="25A69D1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9.紧急突发事件应对处置。</w:t>
      </w:r>
    </w:p>
    <w:p w14:paraId="19409A6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10.负责小区安全生产、垃圾分类、雨污水排放管理、文明创建、卫生防疫、防汛抗旱、铲雪除冰、应急处置等工作；配合社区及居委会开展党建、文化、综治宣传、接待保障等工作。</w:t>
      </w:r>
    </w:p>
    <w:p w14:paraId="6C59B32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11.负责物业零星工程、公共设施维修工作的申报及现场管理。</w:t>
      </w:r>
    </w:p>
    <w:p w14:paraId="14157CD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12.供水、供电、供气、电信等专业单位在物业管理区域内对相关管线、设施维修养护时，进行必要的协调和管理；</w:t>
      </w:r>
    </w:p>
    <w:p w14:paraId="74C7A27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13.物业维修、更新费用的账目管理和物业档案资料管理。</w:t>
      </w:r>
    </w:p>
    <w:p w14:paraId="3F62E13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14.法律法规和物业服务合同中规定的其他事项。</w:t>
      </w:r>
    </w:p>
    <w:p w14:paraId="19BBD46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FF0000"/>
          <w:sz w:val="24"/>
          <w:szCs w:val="24"/>
          <w:highlight w:val="none"/>
          <w:lang w:val="en-US" w:eastAsia="zh-CN"/>
        </w:rPr>
      </w:pPr>
      <w:r>
        <w:rPr>
          <w:rFonts w:hint="eastAsia" w:ascii="宋体" w:hAnsi="宋体" w:eastAsia="宋体" w:cs="宋体"/>
          <w:color w:val="auto"/>
          <w:sz w:val="24"/>
          <w:szCs w:val="24"/>
          <w:highlight w:val="none"/>
          <w:lang w:val="en-US" w:eastAsia="zh-CN"/>
        </w:rPr>
        <w:t>中标人应根据自身物业管理方面的先进经验，针对本小区物业服务的现状及存在的问题，结合本小区物业服务的特点，给出有针对性、更优秀、更完善的物业管理服务方案。</w:t>
      </w:r>
    </w:p>
    <w:p w14:paraId="04B1F5F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highlight w:val="none"/>
          <w:lang w:val="en-US" w:eastAsia="zh-CN"/>
        </w:rPr>
        <w:t>物业服务要求</w:t>
      </w:r>
    </w:p>
    <w:p w14:paraId="6953E9C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1.执行标准</w:t>
      </w:r>
    </w:p>
    <w:p w14:paraId="753A5AF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采购人无特殊要求的按安徽省《住宅物业服务标准》2级B类物业服务标准执行，采购人有要求的，以采购文件要求和2级B类物业服务标准对比中，要求高的一方执行，未尽事宜双方协商解决。</w:t>
      </w:r>
    </w:p>
    <w:p w14:paraId="633E1A1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2.物业的承接查验</w:t>
      </w:r>
    </w:p>
    <w:p w14:paraId="16E1924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标人和采购人现任物业做好物业服务用房、业主共用部位、共用设施设备和相关资料及财物等的移交工作，做好查验和交接工作，协调解决进场前的遗留问题。中标人协助采购人督促原物业公司解决进场前发生的遗留问题，需要诉讼的由采购人诉讼，或者委托中标人代为诉讼（需业主大会同意）。</w:t>
      </w:r>
    </w:p>
    <w:p w14:paraId="3FBB7A9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（2）双方应当对共用部位、共用设施设备进行查验，共同确认查验结果，签订物业验收协议。物业验收协议应当对物业验收基本情况、存在的问题、解决方法及时限、双方权利义务、违约责任等事项作出约定。</w:t>
      </w:r>
    </w:p>
    <w:p w14:paraId="3BDC7A7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人按照小区现状可合法使用物业服务用房和向中标人提供物业服务用房，以供中标人作为物业服务的后勤保障。物业服务用房的所有权依法属于全体业主，提供给中标人工作人员的物业用房，中标人在合同期限内无偿使用，不得挪作他用，不得改变其用途。中标人职员或者其他工作人员在物业服务用房发生的任何事故、病故及其他纠纷均由中标人自行承担，采购人不承担任何责任。如因中标人职员、其他工作人员在物业服务用房违反消防、安全管理等规定导致相应事故和损失的，该责任全部由中标人和直接责任方负责。</w:t>
      </w:r>
    </w:p>
    <w:p w14:paraId="68A2226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（4）本项目终止时，中标人应当及时（接到采购人书面通知3个工作日内）交还物业服务用房。</w:t>
      </w:r>
    </w:p>
    <w:p w14:paraId="003DD13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3.基础服务要求</w:t>
      </w:r>
    </w:p>
    <w:p w14:paraId="4F7DDA73">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（1）整体要求</w:t>
      </w:r>
    </w:p>
    <w:p w14:paraId="13FF287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★①中央消防监控室双人24小时值守，消防设施完好率95%。</w:t>
      </w:r>
    </w:p>
    <w:p w14:paraId="7363235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★②电梯安全：52部电梯全年故障率≤2%，维保记录透明可查，电梯紧急救援（困人）时，电梯维保人员15分钟内到场处置。</w:t>
      </w:r>
    </w:p>
    <w:p w14:paraId="7330DDB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监控安全：为本小区配备缺失监控，维修损坏监控，签订合同后半年内达到监控全覆盖、无死角（包括但不限于道路、出入口、电梯、地下车库、公共区域、高空抛物监控等），监控视频清晰度能够看清人脸面部特征，监控损坏后48小时内维修好。监控所有权归属港利上城国际小区。</w:t>
      </w:r>
    </w:p>
    <w:p w14:paraId="2E3E1368">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★④在业委会和社区及相关部门协助下，限期解决本小区破烂堆放问题和私拉充电线问题。</w:t>
      </w:r>
    </w:p>
    <w:p w14:paraId="29CA0F43">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★⑤限期解决本小区车库进水问题，排查故障原因并解决问题（需要用公共维修基金的，配合采购人申请公共维修基金维修）。</w:t>
      </w:r>
    </w:p>
    <w:p w14:paraId="455BBD0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1月内解决路灯损坏、照明度不够、路灯数量不够等问题，维修更换故障路灯，增加路灯数量。修复、增设老年人娱乐设施。其中，增设路灯，达到路灯全覆盖，至小区无阴暗区域和增设老年娱乐设施等全部费用，包含在本次采购范围之内，采购人不再另行支付，本次采购标的物业费优先用于支付此笔费用。</w:t>
      </w:r>
    </w:p>
    <w:p w14:paraId="44BB81B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★⑦3个月内解决楼栋单元门损坏问题。（需要用公共维修基金的，配合采购人申请公共维修基金进行维修）</w:t>
      </w:r>
    </w:p>
    <w:p w14:paraId="532D94A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★⑧除“四害”：根据老鼠、蚊蝇、蟑螂等的生活习性和活动规律，合理安排时间、频次、药物进行消杀，相关费用包含在此次采购标的物业费之内。</w:t>
      </w:r>
    </w:p>
    <w:p w14:paraId="12B709B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⑨针对本小区52栋楼的具体情况，提供保洁、保安配置人数和工作方案。</w:t>
      </w:r>
    </w:p>
    <w:p w14:paraId="46551A1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采购人将对前期进场主要管理人员、技术人员进行考核，如发现其不能胜任的，采购人有权要求更换，直至胜任为止。</w:t>
      </w:r>
    </w:p>
    <w:p w14:paraId="19EDCE7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必须保证经理、主管、保洁、保安、客服、维修、绿化工作服务人员按岗到位。到岗服务人员必须在册，如确需更换人员，必须将调整后的花名册报业委会备案。擅自更换和离岗情况，采购人将按违约金扣款细则和合同规定，从履约保证金中扣除相应违约费，严重的将作为解除物业服务合同的理由。</w:t>
      </w:r>
    </w:p>
    <w:p w14:paraId="7F6C757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期间，中标人对员工的工资、社保、计划生育、卫生、劳动安全等方面引发的事故，承担民事纠纷和民事赔偿费用，同时承担一切责任和后果；中标人与采购人以外的单位和个人发生的债权债务（如拖欠员工工资、供货商货款等）以及其他纠纷，由中标人自行承担和处理，并承担法律责任；上述如给采购人造成不良影响和损失的，采购人有权解除合同。</w:t>
      </w:r>
    </w:p>
    <w:p w14:paraId="06AD2C7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★⑩限期解决本小区流浪猫狗的安置等问题。</w:t>
      </w:r>
    </w:p>
    <w:p w14:paraId="45AC93C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★⑪中标人入驻小区后和合作结束撤场前，务必和前后物业交接好，承接勘验无误，相关材料送至业委会。如因双方未按规范要求进行对接产生的问题，由中标人承担责任。</w:t>
      </w:r>
    </w:p>
    <w:p w14:paraId="566BA7C8">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⑫若本项目需要重新采购，则中标人需配合至新采购完成，跟新中标人交接清楚后方可撤场。若未完成交接给本小区带来的任何问题，则履约保证金予以扣除，且已发生的物业服务费将作为违约金被扣除，并追究法律责任。</w:t>
      </w:r>
    </w:p>
    <w:p w14:paraId="69CEEE1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⑬</w:t>
      </w:r>
      <w:r>
        <w:rPr>
          <w:rFonts w:hint="eastAsia" w:ascii="宋体" w:hAnsi="宋体" w:eastAsia="宋体" w:cs="宋体"/>
          <w:color w:val="auto"/>
          <w:sz w:val="24"/>
          <w:szCs w:val="24"/>
          <w:highlight w:val="none"/>
          <w:lang w:val="en-US" w:eastAsia="zh-CN"/>
        </w:rPr>
        <w:t>公共维修基金的使用由业委会提出申请并执行，但中标人负责配合收集整理所需材料。所有需要公共维修基金、公共收益维修的项目，均要按规定由业主大会表决后实施。</w:t>
      </w:r>
    </w:p>
    <w:p w14:paraId="21BE1C0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（2）环境维护</w:t>
      </w:r>
    </w:p>
    <w:p w14:paraId="4B598E6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green"/>
          <w:lang w:val="en-US" w:eastAsia="zh-CN"/>
        </w:rPr>
      </w:pPr>
      <w:r>
        <w:rPr>
          <w:rFonts w:hint="eastAsia" w:ascii="宋体" w:hAnsi="宋体" w:eastAsia="宋体" w:cs="宋体"/>
          <w:color w:val="auto"/>
          <w:sz w:val="24"/>
          <w:szCs w:val="24"/>
          <w:highlight w:val="none"/>
          <w:lang w:val="en-US" w:eastAsia="zh-CN"/>
        </w:rPr>
        <w:t>★①绿化覆盖率保持≥98%，枯死植被48小时内处理，枯死草坪10个工作日之内补齐完成，灌木丛和树木半年内补种，当年补种完成，绿化保证存活率≥95%。</w:t>
      </w:r>
    </w:p>
    <w:p w14:paraId="69F2D4B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绿化的修剪和养护管理严格按照《阜阳市城市园林绿化养护管理标准》《阜阳市园林绿化管理考核办法》和安徽省《住宅物业服务标准》中最高的标准执行。修剪树木、灌木丛时，聘用专业有资质的园林工人，合同履行时须提供证明。绿化不允许外包。</w:t>
      </w:r>
    </w:p>
    <w:p w14:paraId="359FB02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（3）设施维护</w:t>
      </w:r>
    </w:p>
    <w:p w14:paraId="73B667D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①中标人建立设施设备数字化台账，公示维修响应时效（如：电梯故障15分钟到场）。</w:t>
      </w:r>
    </w:p>
    <w:p w14:paraId="39925F3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中标人要配合、联系、提醒保修单位，并代表采购人对其养护与维修过程中涉及到采购人的行为进行管理，协助采购人管理保修单位，对设备进行定期保养与维护、检测与年检等工作，督促其按时、保质保量地开展维保工作。</w:t>
      </w:r>
    </w:p>
    <w:p w14:paraId="65269CA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7030A0"/>
          <w:kern w:val="0"/>
          <w:sz w:val="24"/>
          <w:szCs w:val="24"/>
          <w:lang w:val="en-US" w:eastAsia="zh-CN" w:bidi="ar"/>
        </w:rPr>
      </w:pPr>
      <w:r>
        <w:rPr>
          <w:rFonts w:hint="eastAsia" w:ascii="宋体" w:hAnsi="宋体" w:eastAsia="宋体" w:cs="宋体"/>
          <w:color w:val="auto"/>
          <w:sz w:val="24"/>
          <w:szCs w:val="24"/>
          <w:highlight w:val="none"/>
          <w:lang w:val="en-US" w:eastAsia="zh-CN"/>
        </w:rPr>
        <w:t>③设备出现故障时，能够随喊随到，及时维修，对一般性故障在紧急情况下能应急调整、修复，遇工程维修负责随工监督。</w:t>
      </w:r>
    </w:p>
    <w:p w14:paraId="2DAB60E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4.提升类强制要求</w:t>
      </w:r>
    </w:p>
    <w:p w14:paraId="4DE755A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★①智慧化建设：半年内完成车牌识别+人脸识别门禁系统、高空抛物监控全覆盖。</w:t>
      </w:r>
    </w:p>
    <w:p w14:paraId="5440D8F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720" w:firstLineChars="300"/>
        <w:textAlignment w:val="auto"/>
        <w:rPr>
          <w:rFonts w:hint="eastAsia" w:ascii="宋体" w:hAnsi="宋体" w:eastAsia="宋体" w:cs="宋体"/>
          <w:color w:val="auto"/>
          <w:sz w:val="24"/>
          <w:szCs w:val="24"/>
          <w:highlight w:val="green"/>
          <w:lang w:val="en-US" w:eastAsia="zh-CN"/>
        </w:rPr>
      </w:pPr>
      <w:r>
        <w:rPr>
          <w:rFonts w:hint="eastAsia" w:ascii="宋体" w:hAnsi="宋体" w:eastAsia="宋体" w:cs="宋体"/>
          <w:color w:val="auto"/>
          <w:sz w:val="24"/>
          <w:szCs w:val="24"/>
          <w:highlight w:val="none"/>
          <w:lang w:val="en-US" w:eastAsia="zh-CN"/>
        </w:rPr>
        <w:t>②透明化运营：公共收益按月审计公示、物业费支出明细月度推送给业主委员会。</w:t>
      </w:r>
    </w:p>
    <w:p w14:paraId="3A7F589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5.电梯维修养护要求</w:t>
      </w:r>
    </w:p>
    <w:p w14:paraId="4097F30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★①提供24小时应急抢修服务，困人救援到场处置时间不超过15分钟。</w:t>
      </w:r>
    </w:p>
    <w:p w14:paraId="1DECD07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②负责电梯的年度安全检测申报、配合及整改工作。</w:t>
      </w:r>
    </w:p>
    <w:p w14:paraId="0F61FBA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③建立单台电梯独立、完整的维保档案（含保养记录、故障记录、零部件更换记录、年检报告等）。</w:t>
      </w:r>
    </w:p>
    <w:p w14:paraId="366BB71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④确保电梯运行平稳、舒适、安全，五方通话、应急照明、警铃等功能正常有效。</w:t>
      </w:r>
    </w:p>
    <w:p w14:paraId="628B656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⑤负责电梯轿厢、厅门、底坑等环境卫生的日常基础清洁（深度清洁可纳入保洁）。</w:t>
      </w:r>
    </w:p>
    <w:p w14:paraId="5AE2999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⑥及时更换易损件，重大维修或改造需提前申报方案及预算，经采购人审核同意后方可实施。</w:t>
      </w:r>
    </w:p>
    <w:p w14:paraId="4401B82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6.排水系统维护管理</w:t>
      </w:r>
    </w:p>
    <w:p w14:paraId="0CD9B43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①二次供水管理：负责泵房设备（水泵、控制柜、阀门、压力罐等）的日常巡检、维护保养、故障排除，确保供水压力稳定。</w:t>
      </w:r>
    </w:p>
    <w:p w14:paraId="41B8E62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★②严格按照规定聘请具有资质的专业机构对二次供水设施（水箱/水池）进行每季度不少于1次的清洗消毒，并取得水质检测合格报告（符合国家生活饮用水标准），报告归档并向业主公示（如有）。</w:t>
      </w:r>
    </w:p>
    <w:p w14:paraId="666CC11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③保持泵房内整洁、通风、干燥，设备标识清晰。</w:t>
      </w:r>
    </w:p>
    <w:p w14:paraId="108C4A0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④定期巡查、清理公共区域（含天台、平台、楼宇周边）的雨水井、污水井、化粪池、排水沟渠、管道等，确保无堵塞、无淤积、无外溢。</w:t>
      </w:r>
    </w:p>
    <w:p w14:paraId="1B30FF2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⑤按规定对化粪池进行定期清掏（每年不少于1次，每2个月检查一次）。</w:t>
      </w:r>
    </w:p>
    <w:p w14:paraId="1100C82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⑥对高层蓄水池定期清理，每年不少于2次。</w:t>
      </w:r>
    </w:p>
    <w:p w14:paraId="5BF04CB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⑦台风、暴雨等特殊天气前加强巡查和防范。</w:t>
      </w:r>
    </w:p>
    <w:p w14:paraId="65CB925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⑧定期检查公共区域给排水管道、阀门，及时处理跑冒滴漏现象。冬季做好室外管道、设备的防冻保温措施。</w:t>
      </w:r>
    </w:p>
    <w:p w14:paraId="0078B76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7.消防系统维护管理</w:t>
      </w:r>
    </w:p>
    <w:p w14:paraId="72C4F6A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★①维保单位要求：须委托具备国家或地方消防主管部门认可的相应资质的专业消防技术服务机构进行维护保养。维保单位及人员资质报采购人备案。提供服务合同及维保人员资质复印件。</w:t>
      </w:r>
    </w:p>
    <w:p w14:paraId="0A1F53C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系统维护内容：对消防系统（火灾自动报警系统、自动喷水灭火系统、消火栓系统、防排烟系统、应急照明及疏散指示系统、防火分隔设施、灭火器等）进行定期巡检、测试、保养（频率按国家规范及设备要求执行，如：月检、季检、年检）。</w:t>
      </w:r>
    </w:p>
    <w:p w14:paraId="23CD0EE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③确保消防主机、探测器、手报、模块、喷头、消火栓、水泵、风机、防火门、灭火器等所有消防设施完好有效。</w:t>
      </w:r>
    </w:p>
    <w:p w14:paraId="2025F5D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④建立完整、准确的消防设施设备档案和维护保养记录。</w:t>
      </w:r>
    </w:p>
    <w:p w14:paraId="584D3AA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⑤保持消防通道畅通、无杂物堵塞。</w:t>
      </w:r>
    </w:p>
    <w:p w14:paraId="7A75FD3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56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★⑥消防控制室双人24小时值班（持证上岗），熟练掌握操作规程和应急处置流程。</w:t>
      </w:r>
    </w:p>
    <w:p w14:paraId="16ADAA6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56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⑦配合政府消防部门的监督检查。</w:t>
      </w:r>
    </w:p>
    <w:p w14:paraId="1B30256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⑧组织或配合进行定期消防演练，每年至少2次。</w:t>
      </w:r>
    </w:p>
    <w:p w14:paraId="6F62044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⑨发现消防隐患及时处理并上报。</w:t>
      </w:r>
    </w:p>
    <w:p w14:paraId="68064C3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8.公共安全监控系统维护</w:t>
      </w:r>
    </w:p>
    <w:p w14:paraId="5F11DD7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①系统维护：负责监控室设备（矩阵、硬盘录像机NVR/DVR、显示器、存储设备等）及所有前端摄像机（含球机、枪机、电梯摄像机等）的日常巡检、清洁、维护保养。</w:t>
      </w:r>
    </w:p>
    <w:p w14:paraId="0180205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★②确保监控系统24小时正常运行，画面清晰、覆盖无死角（特别是重要区域如出入口、电梯厅、车库、周界等）、录像存储时间≥30天。</w:t>
      </w:r>
    </w:p>
    <w:p w14:paraId="6C9D60C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③及时发现并处理设备故障、线路问题。</w:t>
      </w:r>
    </w:p>
    <w:p w14:paraId="51A6DA0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④建立设备台账和维护记录。</w:t>
      </w:r>
    </w:p>
    <w:p w14:paraId="2612EC3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★⑤监控室管理：未经公安机关及业委会同意，不得随意放人进入监控室私自查看监控视频记录。</w:t>
      </w:r>
    </w:p>
    <w:p w14:paraId="31284ED3">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⑥值班人员须熟悉设备操作、监控点位分布，具备高度责任心和敏锐观察力。</w:t>
      </w:r>
    </w:p>
    <w:p w14:paraId="743AD7F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⑦发现异常情况立即按程序报告并跟踪处理。</w:t>
      </w:r>
    </w:p>
    <w:p w14:paraId="779DD0D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⑧严格遵守监控录像调阅规定，保护业主隐私。</w:t>
      </w:r>
    </w:p>
    <w:p w14:paraId="6E8D672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9.高空抛物监控与防范</w:t>
      </w:r>
    </w:p>
    <w:p w14:paraId="5A87FE3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①监控系统要求：负责项目内高空抛物专用监控摄像头及其配套存储、显示设备的日常维护保养，确保正常运行、角度合适、画面清晰。</w:t>
      </w:r>
    </w:p>
    <w:p w14:paraId="0D90C8A3">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②确保相关录像完整存储，存储时间不低于30天。</w:t>
      </w:r>
    </w:p>
    <w:p w14:paraId="79E2830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③日常防范管理：加强宣传教育（张贴警示、发放告知书、线上宣传等），提高住户安全意识。</w:t>
      </w:r>
    </w:p>
    <w:p w14:paraId="6DD4943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④在日常巡查（特别是楼宇立面、平台、天台）中关注是否存在易坠落物品（如花盆、杂物等），及时排查隐患并通知相关责任人整改。</w:t>
      </w:r>
    </w:p>
    <w:p w14:paraId="72DC516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⑤建立快速响应机制，一旦发生或接到高空抛物举报/投诉，应立即调取监控、现场查看、锁定来源（如可能），并按规定程序上报处理。</w:t>
      </w:r>
    </w:p>
    <w:p w14:paraId="54F2A36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10.公共绿化养护</w:t>
      </w:r>
    </w:p>
    <w:p w14:paraId="5757B8A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①请严格遵守国家和阜阳市最新的《绿地养护质量考核标准》，按两个标准中较高的标准执行。</w:t>
      </w:r>
    </w:p>
    <w:p w14:paraId="6BA152B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②养护标准：保持植物生长旺盛、形态美观，无明显枯枝死树、黄土裸露，补种及时。</w:t>
      </w:r>
    </w:p>
    <w:p w14:paraId="54FF7F5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③养护内容：</w:t>
      </w:r>
    </w:p>
    <w:p w14:paraId="13536E5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浇水：根据季节、天气、植物习性科学合理浇水，确保不旱不涝。</w:t>
      </w:r>
    </w:p>
    <w:p w14:paraId="317A3CB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施肥：按不同植物种类和生长周期进行施肥，每年不少于3次。</w:t>
      </w:r>
    </w:p>
    <w:p w14:paraId="0BE7AD0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修剪：草坪定期修剪，保持高度一致；乔灌木定期整形修剪，去除枯枝、病虫枝、徒长枝；绿篱保持造型整齐。</w:t>
      </w:r>
    </w:p>
    <w:p w14:paraId="4EC6909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病虫害防治：贯彻“预防为主，综合防治”方针，定期巡查，发现病虫害及时采取环保有效的方法治理，控制蔓延。喷药需提前公告并注意安全。</w:t>
      </w:r>
    </w:p>
    <w:p w14:paraId="1AAA8FB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除草：及时清除绿地内杂草，保持纯净。</w:t>
      </w:r>
    </w:p>
    <w:p w14:paraId="72E3949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松土/补植：适时松土；对死亡、缺株、黄土裸露处及时进行补植、更换。</w:t>
      </w:r>
    </w:p>
    <w:p w14:paraId="07F31BA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冬季防护：对不耐寒植物采取必要的防寒保暖措施。</w:t>
      </w:r>
    </w:p>
    <w:p w14:paraId="3B932D5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绿化垃圾：修剪、清理产生的垃圾及时清运。</w:t>
      </w:r>
    </w:p>
    <w:p w14:paraId="394C2EE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④乔木、灌木保存率一般要求≥95%；草坪覆盖率通常要求≥98%，无明显死斑。</w:t>
      </w:r>
    </w:p>
    <w:p w14:paraId="703162D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补植要求：死亡或缺失植株需在第一个种植季节内全数补植，补植后成活率需达到95%以上，以维持整体保存率达标。（注：“保存率”指养护期内现存健康植株占原有植株总数的比例，区别于当年新植的“成活率”）</w:t>
      </w:r>
    </w:p>
    <w:p w14:paraId="70B982B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★⑥绿化景观方面，给予本小区水系（南门口水系）系</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统恢复（或者修建等价值的路沿石，因考虑到业主安全问题，水系（南门口水系）和路沿石二选一，中标（成交）后由业主表决后执行），签订合同后半年内达到正常使用，恢复后的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水系（南门口水系）</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系统或路沿石所有权归属港利上城国际小区。恢复</w:t>
      </w:r>
      <w:r>
        <w:rPr>
          <w:rFonts w:hint="eastAsia" w:ascii="宋体" w:hAnsi="宋体" w:eastAsia="宋体" w:cs="宋体"/>
          <w:color w:val="000000" w:themeColor="text1"/>
          <w:sz w:val="24"/>
          <w:szCs w:val="24"/>
          <w:highlight w:val="none"/>
          <w:lang w:val="en-US" w:eastAsia="zh-CN"/>
          <w14:textFill>
            <w14:solidFill>
              <w14:schemeClr w14:val="tx1"/>
            </w14:solidFill>
          </w14:textFill>
        </w:rPr>
        <w:t>水系（南门口水系）</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工程或路沿石工程所涉及的一切费用包含在本次采购范围之内，</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采购人不再另行支付。</w:t>
      </w:r>
    </w:p>
    <w:p w14:paraId="489675C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green"/>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⑦给与本小区补栽草坪、灌木丛及树木等绿化，时限半年内。草坪补植要求满铺草皮，无黄土裸露；主要景观带优先补植四季常绿混播草坪。遮阴处麦冬补植要求无黄土裸露。补植的所有绿化所有权归属于港利上城国际小区。补栽草坪的一切费用包含在本次采购范围之内，采购人不再另行支付。本次采购的标的物业费在支付达到路灯全覆盖后优先用于此笔费用支出。</w:t>
      </w:r>
    </w:p>
    <w:p w14:paraId="69B23F5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11.安保服务</w:t>
      </w:r>
    </w:p>
    <w:p w14:paraId="1272EDA8">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①安保人员要求：统一着装，装备（对讲机、警棍等）齐全，精神饱满，姿态端正，文明执勤，上班期间不得饮酒、打牌、聊天、玩手机。</w:t>
      </w:r>
    </w:p>
    <w:p w14:paraId="084FF2E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②门岗管理：实行24小时值守。对进出人员、车辆进行询问、登记（访客）、核实（必要时）。严格执行物品放行制度（凭有效放行条）。</w:t>
      </w:r>
    </w:p>
    <w:p w14:paraId="0923694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③维护出入口交通秩序，指挥疏导车辆。</w:t>
      </w:r>
    </w:p>
    <w:p w14:paraId="2EAD998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巡逻管理：制定科学合理的巡逻路线和频次（含重点区域、重点时段），进行全天候、全覆盖的治安巡逻（含夜间巡查）。巡逻需携带必要装备，仔细检查公共设施、消防器材、门窗关闭情况、可疑人员等，及时发现并消除安全隐患。做好巡逻记录。</w:t>
      </w:r>
    </w:p>
    <w:p w14:paraId="7D76C4A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★⑤车辆管理：维护停车场（库）秩序，引导车辆停放，确保道路、消防通道畅通。对违规停放车辆进行劝阻、引导、记录（必要时上报处理）。负责或协助停车收费管理。</w:t>
      </w:r>
    </w:p>
    <w:p w14:paraId="47C4F7A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突发事件处置：制定完善的治安应急预案（如盗窃、抢劫、斗殴、群体事件等）。安保人员须熟练掌握预案内容。遇突发事件，应迅速反应、果断处置、控制事态、保护现场，并及时报告主管、相关部门（如110）及采购人。</w:t>
      </w:r>
    </w:p>
    <w:p w14:paraId="61EA69C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⑥监控联动：安保人员与监控室保持紧密联动，对监控发现的可疑情况及时前往现场核实处理。</w:t>
      </w:r>
    </w:p>
    <w:p w14:paraId="4D8D691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12.公用部分和公用设施设备维护管理</w:t>
      </w:r>
    </w:p>
    <w:p w14:paraId="7974A57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范围：道路、场地、围墙/围栏、大门、景观小品、休闲座椅、儿童游乐设施、健身器材、自行车棚、公共照明（含路灯、庭院灯、楼道灯）、标识标牌、公告栏、配电房（高压部分通常由供电局负责，低压及用户侧由物业维护）、发电机（如有）、公共管道井（电、通讯等）、避雷设施等。</w:t>
      </w:r>
    </w:p>
    <w:p w14:paraId="568ADA0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②维护要求：建立设施设备台账（含型号、位置、维保记录）。</w:t>
      </w:r>
    </w:p>
    <w:p w14:paraId="2AB4E13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③定期巡查巡检（如：公共照明每日巡查，道路场地、游乐健身设施每周巡查，配电设施、避雷设施按规范检查测试），及时发现损坏、故障或安全隐患。</w:t>
      </w:r>
    </w:p>
    <w:p w14:paraId="4E209AC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④及时进行维修保养或更换（小修由物业负责，中大修需申请维修资金或专项费用）。</w:t>
      </w:r>
    </w:p>
    <w:p w14:paraId="59EE5E3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⑤确保道路平整、无积水；场地无破损；围墙完好；公共照明亮灯率95%；游乐健身设施安全可靠、标识清晰；管道井整洁无杂物；避雷设施检测合格。</w:t>
      </w:r>
    </w:p>
    <w:p w14:paraId="6A2CAD4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⑥发电机（如有）定期试运行（带载），保证油料充足，处于良好备用状态。</w:t>
      </w:r>
    </w:p>
    <w:p w14:paraId="617163D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13.房屋建筑的维护管理</w:t>
      </w:r>
    </w:p>
    <w:p w14:paraId="7DB54E1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①日常巡查与保养：定期对房屋本体（包括屋面、外墙、楼道内墙面、天花板、公共门窗、楼梯扶手、散水坡等）进行全面巡查。</w:t>
      </w:r>
    </w:p>
    <w:p w14:paraId="54065B9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②重点检查：屋顶有无渗漏、排水是否畅通；外墙（砖、涂料）有无脱落、空鼓、渗水；楼道墙面、顶棚有无破损、污渍、渗漏；公共门窗、扶手是否完好牢固；散水坡有无下沉开裂。</w:t>
      </w:r>
    </w:p>
    <w:p w14:paraId="68D6B82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③对发现的小型损坏（如墙面小面积剥落、门窗配件损坏、扶手松动等）及时进行小修小补。</w:t>
      </w:r>
    </w:p>
    <w:p w14:paraId="7700A033">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④周期性维护：根据房屋状况和使用年限，制定中修、大修或更新改造计划（如外墙清洗/粉刷、屋面维修、楼道公共区域修缮等），按程序申请使用维修资金或专项费用实施。</w:t>
      </w:r>
    </w:p>
    <w:p w14:paraId="7E704D5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⑤记录与报告：建立房屋巡查和维修档案。对发现的重大隐患（如结构性裂缝、严重渗漏等）立即报告采购人并采取应急措施。</w:t>
      </w:r>
    </w:p>
    <w:p w14:paraId="06C3F1E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14.公共区域卫生保洁</w:t>
      </w:r>
    </w:p>
    <w:p w14:paraId="0795D86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★①严格按照标准配备垃圾箱，每日清运1次，每周清洗消毒一次。垃圾袋装化，保持垃圾桶清洁、无异味。楼内垃圾桶每日清理1次，每周清洗、擦拭、消毒1次。</w:t>
      </w:r>
    </w:p>
    <w:p w14:paraId="59E07428">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★②道路、广场、停车场、绿地等每日清扫1次；电梯厅、楼道每日清扫1次，每周拖洗1次；一层共用大厅每日拖洗1次。楼梯扶手每月擦洗1次，及时清除道路积水积雪。</w:t>
      </w:r>
    </w:p>
    <w:p w14:paraId="64FADFA9">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③雨、污水井每月检查1次，并视检查情况及时清掏。</w:t>
      </w:r>
    </w:p>
    <w:p w14:paraId="7D4FFE3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④绿化和楼顶定期清扫，每月不少于1次，发现垃圾杂物要随时清理，保持景观照明、路灯灯杆、灯柱清洁。</w:t>
      </w:r>
    </w:p>
    <w:p w14:paraId="79D18B4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⑤及时清理落水口、排水沟内的泥沙、杂物、杂草等，保持排水畅通。</w:t>
      </w:r>
    </w:p>
    <w:p w14:paraId="560DC8F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⑥车库每天打扫1次，每月清拖1次，并随时保洁，保持地面干净。</w:t>
      </w:r>
    </w:p>
    <w:p w14:paraId="289C9F0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★⑦根据实际情况定期进行消毒和灭虫除害，保持区域内无蚊、蝇、虫、鼠孳生地。</w:t>
      </w:r>
    </w:p>
    <w:p w14:paraId="2329985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15.弱电系统维护管理</w:t>
      </w:r>
    </w:p>
    <w:p w14:paraId="6B04746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①系统范围：楼宇对讲/门禁系统、停车场管理系统（含道闸、车位引导、收费系统等）、背景音乐/紧急广播系统、信息发布系统、网络通信线路（公共区域管线槽架维护，接入通常由运营商负责）等。</w:t>
      </w:r>
    </w:p>
    <w:p w14:paraId="5D7542E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②维护要求：负责以上弱电系统（含终端设备、线路、管理主机/软件）的日常巡检、简单维护保养和故障排除。</w:t>
      </w:r>
    </w:p>
    <w:p w14:paraId="69A42D7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③确保系统运行稳定可靠：门禁/对讲通话音视频清晰、开锁正常；道闸起落顺畅、车牌识别准确、收费系统稳定；广播系统音质清晰、覆盖到位；信息发布及时准确。</w:t>
      </w:r>
    </w:p>
    <w:p w14:paraId="518B239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④对复杂故障或需更换主要部件的情况，及时联系专业维保单位处理（</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需明确界定物业自行维护范围与委托专业维保范围</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091B581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⑤建立设备台账和维护记录。</w:t>
      </w:r>
    </w:p>
    <w:p w14:paraId="05F02465">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⑥配合运营商进行线路维护。</w:t>
      </w:r>
    </w:p>
    <w:p w14:paraId="28DD7AE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16.应急管理</w:t>
      </w:r>
    </w:p>
    <w:p w14:paraId="593EB54A">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预案制定：建立健全各项应急预案，包括但不限于：电梯困人应急预案、突发停电应急预案、停水/爆管应急预案、火灾事故应急预案、防汛/防台风应急预案、治安事件应急预案、公共卫生事件（如传染病）应急预案、自然灾害应急预案等。</w:t>
      </w:r>
    </w:p>
    <w:p w14:paraId="74EA339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应急响应：明确应急组织架构、通讯联络方式、处置流程。配备必要的应急物资和设备（沙袋、应急灯、发电机油料、急救箱等）。定期组织培训和演练，提升应急处置能力。突发事件发生时，迅速启动预案，高效组织抢险、救援、疏散、善后和信息报告。</w:t>
      </w:r>
    </w:p>
    <w:p w14:paraId="58B9B1B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17.客户服务与社区文化</w:t>
      </w:r>
    </w:p>
    <w:p w14:paraId="1AEA7E4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日常服务：设立客户服务中心/前台，提供咨询、报修、投诉受理、费用收缴（如有）、便民服务等。建立规范、高效的投诉处理流程，确保投诉渠道畅通（电话、微信、前台、信箱等），及时响应、处理、反馈并记录归档。定期进行投诉分析。</w:t>
      </w:r>
    </w:p>
    <w:p w14:paraId="1102CCF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信息沟通：建立信息公开制度（服务内容、标准、收费项目、依据、公共收益等）。通过公告栏、微信群、公众号、APP等多种方式，及时发布物业通知、温馨提示、社区动态、文化活动信息等。定期发布物业服务工作报告。</w:t>
      </w:r>
    </w:p>
    <w:p w14:paraId="5CF8658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③社区文化活动：根据项目特点及业主需求，制定年度社区文化活动计划（如节日庆祝、便民服务日、健康讲座、文体活动等），营造和谐社区氛围。</w:t>
      </w:r>
    </w:p>
    <w:p w14:paraId="7C2D1BA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18.其他要求</w:t>
      </w:r>
    </w:p>
    <w:p w14:paraId="523FC8E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档案资料管理：建立健全物业管理档案（包括：承接查验资料、业主资料（保密）、房屋档案、设备台账、维保合同与记录、运行记录、值班/巡查记录、装修管理资料、投诉处理记录、社区活动记录、财务资料（如适用）、合同文件、通知公告等）。档案管理规范，分类清晰，便于查阅。电子化存档管理。</w:t>
      </w:r>
    </w:p>
    <w:p w14:paraId="444E649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②节能降耗：制定并实施公共区域水电等能耗的节能管理措施，杜绝长明灯、长流水等浪费现象。提出并实施可行的节能改造建议。</w:t>
      </w:r>
    </w:p>
    <w:p w14:paraId="4DEF3ED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装修管理：制定完善的装修管理规定。做好装修申请登记、审核（图纸、方案）、签订管理协议、收取押金（如适用）、施工巡查（重点：承重结构、防水、消防安全、噪音、垃圾清运）、竣工验收及押金退还等工作。</w:t>
      </w:r>
    </w:p>
    <w:p w14:paraId="6937C023">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（三）物业服务人员要求</w:t>
      </w:r>
    </w:p>
    <w:p w14:paraId="2485F7F3">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1.配备给本小区的人员基本要求</w:t>
      </w:r>
    </w:p>
    <w:p w14:paraId="3E68749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所有配置的人员身体健康状况均能够胜任本职岗位要求。不允许有任何违法行为（如欺辱业主等，一经发现，中标人需更换此岗位人员，亦不允许此人员在本小区内对调其他岗位，否则解除与中标人的合作合同）。</w:t>
      </w:r>
    </w:p>
    <w:p w14:paraId="6D2B357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②总经理、综合主管（副总经理）、工程部主管（技术主管）、安保主管属于关键岗位，不能相互兼任。</w:t>
      </w:r>
    </w:p>
    <w:p w14:paraId="1FA5E41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2.关键岗位人员须具备的资格：</w:t>
      </w:r>
    </w:p>
    <w:p w14:paraId="01EA05B7">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①总经理：具有大专及以上学历；具有全国物业项目经理证书。</w:t>
      </w:r>
    </w:p>
    <w:p w14:paraId="68A9C66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②综合主管（副总经理）：具有大专及以上学历；具有全国物业项目经理证书；</w:t>
      </w:r>
    </w:p>
    <w:p w14:paraId="6580B61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③工程主管（技术主管）：具有电工证书；具有中级消防设施操作员证书或特种设备安全管理和作业人员证书或特种设备安全员证，三个证（电工、消防、特殊设备）至少具备一个，另两个证需配备具备该证件的普通岗位人员。</w:t>
      </w:r>
    </w:p>
    <w:p w14:paraId="68EE76B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④安保主管：具有保安员证。</w:t>
      </w:r>
    </w:p>
    <w:p w14:paraId="785F63AE">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textAlignment w:val="auto"/>
        <w:rPr>
          <w:rFonts w:hint="eastAsia" w:ascii="宋体" w:hAnsi="宋体" w:eastAsia="宋体" w:cs="宋体"/>
          <w:b/>
          <w:bCs/>
          <w:color w:val="00B050"/>
          <w:sz w:val="24"/>
          <w:szCs w:val="24"/>
          <w:highlight w:val="none"/>
          <w:lang w:val="en-US" w:eastAsia="zh-CN"/>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备注：投标人需在投标文件中提供关键岗位人员身份证、相关证书证明材料。</w:t>
      </w:r>
    </w:p>
    <w:p w14:paraId="5176DD2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3.按《住宅小区服务标准》DB34/T5000-2013（现行执行版本）中2级B类物业服务标准配备管理、客服、保安、保洁、绿化、工程维修等各岗位人数。</w:t>
      </w:r>
    </w:p>
    <w:p w14:paraId="328E7E1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B05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4.人员（包含总经理、综合主管（副总经理）、工程部主管（技术主管）、安保主管、消防管理员、电工，</w:t>
      </w:r>
      <w:r>
        <w:rPr>
          <w:rFonts w:hint="eastAsia" w:ascii="宋体" w:hAnsi="宋体" w:eastAsia="宋体" w:cs="宋体"/>
          <w:color w:val="auto"/>
          <w:sz w:val="24"/>
          <w:szCs w:val="24"/>
          <w:highlight w:val="none"/>
          <w:lang w:val="en-US" w:eastAsia="zh-CN"/>
        </w:rPr>
        <w:t>电梯维保人员</w:t>
      </w:r>
      <w:r>
        <w:rPr>
          <w:rFonts w:hint="eastAsia" w:ascii="宋体" w:hAnsi="宋体" w:eastAsia="宋体" w:cs="宋体"/>
          <w:color w:val="000000" w:themeColor="text1"/>
          <w:sz w:val="24"/>
          <w:szCs w:val="24"/>
          <w:highlight w:val="none"/>
          <w:lang w:val="en-US" w:eastAsia="zh-CN"/>
          <w14:textFill>
            <w14:solidFill>
              <w14:schemeClr w14:val="tx1"/>
            </w14:solidFill>
          </w14:textFill>
        </w:rPr>
        <w:t>、客服、保安、保洁、绿化、工程维修人员等）须持证上岗，统一着装、佩戴工牌、行为规范、礼貌服务。</w:t>
      </w:r>
    </w:p>
    <w:p w14:paraId="12CA3DE8">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5.建立高效、统一的客户服务中心，提供一站式服务受理、咨询、投诉处理、报修响应等。</w:t>
      </w:r>
    </w:p>
    <w:p w14:paraId="605511D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保洁、保安人员不允许外包给第三方公司</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17910E2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宋体" w:hAnsi="宋体" w:eastAsia="宋体" w:cs="宋体"/>
          <w:color w:val="auto"/>
          <w:sz w:val="24"/>
          <w:szCs w:val="24"/>
          <w:highlight w:val="yellow"/>
          <w:lang w:val="zh-CN"/>
        </w:rPr>
      </w:pPr>
      <w:r>
        <w:rPr>
          <w:rFonts w:hint="eastAsia" w:ascii="宋体" w:hAnsi="宋体" w:eastAsia="宋体" w:cs="宋体"/>
          <w:color w:val="auto"/>
          <w:sz w:val="24"/>
          <w:szCs w:val="24"/>
          <w:highlight w:val="none"/>
          <w:lang w:val="en-US" w:eastAsia="zh-CN"/>
        </w:rPr>
        <w:t>7.投标人配备给采购人的人员资格要求（非单人要求）：（1）具有专科及以上学历的；（2）具有中级及以上消防</w:t>
      </w:r>
      <w:r>
        <w:rPr>
          <w:rFonts w:hint="eastAsia" w:ascii="宋体" w:hAnsi="宋体" w:eastAsia="宋体" w:cs="宋体"/>
          <w:color w:val="auto"/>
          <w:sz w:val="24"/>
          <w:szCs w:val="24"/>
          <w:highlight w:val="none"/>
          <w:lang w:val="zh-CN"/>
        </w:rPr>
        <w:t>设施操作</w:t>
      </w:r>
      <w:r>
        <w:rPr>
          <w:rFonts w:hint="eastAsia" w:ascii="宋体" w:hAnsi="宋体" w:eastAsia="宋体" w:cs="宋体"/>
          <w:color w:val="auto"/>
          <w:sz w:val="24"/>
          <w:szCs w:val="24"/>
          <w:highlight w:val="none"/>
          <w:lang w:val="en-US" w:eastAsia="zh-CN"/>
        </w:rPr>
        <w:t>证书的；（3）具有全国物业项目经理证（或全国物业管理企业经理证书）的；（4）具有病虫害防治员证书的；（5）具有特种设备安全管理和作业人员（安全员）证的；（6）具有保安员证的；（7</w:t>
      </w:r>
      <w:r>
        <w:rPr>
          <w:rFonts w:hint="eastAsia" w:ascii="宋体" w:hAnsi="宋体" w:eastAsia="宋体" w:cs="宋体"/>
          <w:color w:val="auto"/>
          <w:sz w:val="24"/>
          <w:szCs w:val="24"/>
          <w:highlight w:val="none"/>
          <w:lang w:val="zh-CN"/>
        </w:rPr>
        <w:t>）具有电工证的。</w:t>
      </w:r>
    </w:p>
    <w:p w14:paraId="799095C6">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2" w:firstLineChars="200"/>
        <w:jc w:val="both"/>
        <w:textAlignment w:val="auto"/>
        <w:rPr>
          <w:rFonts w:hint="eastAsia" w:ascii="宋体" w:hAnsi="宋体" w:eastAsia="宋体" w:cs="宋体"/>
          <w:b/>
          <w:bCs/>
          <w:color w:val="auto"/>
          <w:spacing w:val="0"/>
          <w:sz w:val="24"/>
          <w:szCs w:val="24"/>
          <w:highlight w:val="none"/>
          <w:lang w:eastAsia="zh-CN"/>
        </w:rPr>
      </w:pPr>
      <w:r>
        <w:rPr>
          <w:rFonts w:hint="eastAsia" w:ascii="宋体" w:hAnsi="宋体" w:eastAsia="宋体" w:cs="宋体"/>
          <w:b/>
          <w:bCs/>
          <w:color w:val="auto"/>
          <w:spacing w:val="0"/>
          <w:sz w:val="24"/>
          <w:szCs w:val="24"/>
          <w:highlight w:val="none"/>
          <w:lang w:val="en-US" w:eastAsia="zh-CN"/>
        </w:rPr>
        <w:t>8.人员配备及岗位职责</w:t>
      </w:r>
      <w:r>
        <w:rPr>
          <w:rFonts w:hint="eastAsia" w:ascii="宋体" w:hAnsi="宋体" w:eastAsia="宋体" w:cs="宋体"/>
          <w:b/>
          <w:bCs/>
          <w:color w:val="auto"/>
          <w:spacing w:val="0"/>
          <w:sz w:val="24"/>
          <w:szCs w:val="24"/>
          <w:highlight w:val="none"/>
        </w:rPr>
        <w:t>要求</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最低要求</w:t>
      </w:r>
      <w:r>
        <w:rPr>
          <w:rFonts w:hint="eastAsia" w:ascii="宋体" w:hAnsi="宋体" w:eastAsia="宋体" w:cs="宋体"/>
          <w:b/>
          <w:bCs/>
          <w:color w:val="auto"/>
          <w:spacing w:val="0"/>
          <w:sz w:val="24"/>
          <w:szCs w:val="24"/>
          <w:highlight w:val="none"/>
          <w:lang w:eastAsia="zh-CN"/>
        </w:rPr>
        <w:t>）</w:t>
      </w:r>
    </w:p>
    <w:tbl>
      <w:tblPr>
        <w:tblStyle w:val="24"/>
        <w:tblW w:w="90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3"/>
        <w:gridCol w:w="1200"/>
        <w:gridCol w:w="815"/>
        <w:gridCol w:w="3602"/>
        <w:gridCol w:w="2838"/>
      </w:tblGrid>
      <w:tr w14:paraId="39D3E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jc w:val="center"/>
        </w:trPr>
        <w:tc>
          <w:tcPr>
            <w:tcW w:w="633" w:type="dxa"/>
            <w:noWrap w:val="0"/>
            <w:vAlign w:val="center"/>
          </w:tcPr>
          <w:p w14:paraId="1F0B0A4F">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序号</w:t>
            </w:r>
          </w:p>
        </w:tc>
        <w:tc>
          <w:tcPr>
            <w:tcW w:w="1200" w:type="dxa"/>
            <w:noWrap w:val="0"/>
            <w:vAlign w:val="center"/>
          </w:tcPr>
          <w:p w14:paraId="5C188C61">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499" w:leftChars="0" w:right="0" w:hanging="499" w:hangingChars="208"/>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岗位</w:t>
            </w:r>
          </w:p>
        </w:tc>
        <w:tc>
          <w:tcPr>
            <w:tcW w:w="815" w:type="dxa"/>
            <w:noWrap w:val="0"/>
            <w:vAlign w:val="center"/>
          </w:tcPr>
          <w:p w14:paraId="79E4E1C0">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人</w:t>
            </w:r>
            <w:r>
              <w:rPr>
                <w:rFonts w:hint="eastAsia" w:ascii="宋体" w:hAnsi="宋体" w:eastAsia="宋体" w:cs="宋体"/>
                <w:spacing w:val="0"/>
                <w:sz w:val="24"/>
                <w:szCs w:val="24"/>
                <w:highlight w:val="none"/>
              </w:rPr>
              <w:t>数</w:t>
            </w:r>
            <w:r>
              <w:rPr>
                <w:rFonts w:hint="eastAsia" w:ascii="宋体" w:hAnsi="宋体" w:eastAsia="宋体" w:cs="宋体"/>
                <w:spacing w:val="0"/>
                <w:sz w:val="24"/>
                <w:szCs w:val="24"/>
                <w:highlight w:val="none"/>
                <w:lang w:eastAsia="zh-CN"/>
              </w:rPr>
              <w:t>（</w:t>
            </w:r>
            <w:r>
              <w:rPr>
                <w:rFonts w:hint="eastAsia" w:ascii="宋体" w:hAnsi="宋体" w:eastAsia="宋体" w:cs="宋体"/>
                <w:spacing w:val="0"/>
                <w:sz w:val="24"/>
                <w:szCs w:val="24"/>
                <w:highlight w:val="none"/>
                <w:lang w:val="en-US" w:eastAsia="zh-CN"/>
              </w:rPr>
              <w:t>人</w:t>
            </w:r>
            <w:r>
              <w:rPr>
                <w:rFonts w:hint="eastAsia" w:ascii="宋体" w:hAnsi="宋体" w:eastAsia="宋体" w:cs="宋体"/>
                <w:spacing w:val="0"/>
                <w:sz w:val="24"/>
                <w:szCs w:val="24"/>
                <w:highlight w:val="none"/>
                <w:lang w:eastAsia="zh-CN"/>
              </w:rPr>
              <w:t>）</w:t>
            </w:r>
          </w:p>
        </w:tc>
        <w:tc>
          <w:tcPr>
            <w:tcW w:w="3602" w:type="dxa"/>
            <w:noWrap w:val="0"/>
            <w:vAlign w:val="center"/>
          </w:tcPr>
          <w:p w14:paraId="1FB7FBE5">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val="en-US"/>
              </w:rPr>
            </w:pPr>
            <w:r>
              <w:rPr>
                <w:rFonts w:hint="eastAsia" w:ascii="宋体" w:hAnsi="宋体" w:eastAsia="宋体" w:cs="宋体"/>
                <w:spacing w:val="0"/>
                <w:sz w:val="24"/>
                <w:szCs w:val="24"/>
                <w:highlight w:val="none"/>
                <w:lang w:val="en-US" w:eastAsia="zh-CN"/>
              </w:rPr>
              <w:t>任务分配</w:t>
            </w:r>
          </w:p>
        </w:tc>
        <w:tc>
          <w:tcPr>
            <w:tcW w:w="2838" w:type="dxa"/>
            <w:noWrap w:val="0"/>
            <w:vAlign w:val="center"/>
          </w:tcPr>
          <w:p w14:paraId="679A49E6">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配备要求</w:t>
            </w:r>
          </w:p>
        </w:tc>
      </w:tr>
      <w:tr w14:paraId="23B54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jc w:val="center"/>
        </w:trPr>
        <w:tc>
          <w:tcPr>
            <w:tcW w:w="633" w:type="dxa"/>
            <w:noWrap w:val="0"/>
            <w:vAlign w:val="center"/>
          </w:tcPr>
          <w:p w14:paraId="6CA51DB5">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1</w:t>
            </w:r>
          </w:p>
        </w:tc>
        <w:tc>
          <w:tcPr>
            <w:tcW w:w="1200" w:type="dxa"/>
            <w:noWrap w:val="0"/>
            <w:vAlign w:val="center"/>
          </w:tcPr>
          <w:p w14:paraId="7572373B">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lang w:val="en-US" w:eastAsia="zh-CN"/>
              </w:rPr>
              <w:t>总</w:t>
            </w:r>
            <w:r>
              <w:rPr>
                <w:rFonts w:hint="eastAsia" w:ascii="宋体" w:hAnsi="宋体" w:eastAsia="宋体" w:cs="宋体"/>
                <w:spacing w:val="0"/>
                <w:sz w:val="24"/>
                <w:szCs w:val="24"/>
                <w:highlight w:val="none"/>
              </w:rPr>
              <w:t>经理</w:t>
            </w:r>
          </w:p>
        </w:tc>
        <w:tc>
          <w:tcPr>
            <w:tcW w:w="815" w:type="dxa"/>
            <w:noWrap w:val="0"/>
            <w:vAlign w:val="center"/>
          </w:tcPr>
          <w:p w14:paraId="27258916">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1</w:t>
            </w:r>
          </w:p>
        </w:tc>
        <w:tc>
          <w:tcPr>
            <w:tcW w:w="3602" w:type="dxa"/>
            <w:noWrap w:val="0"/>
            <w:vAlign w:val="center"/>
          </w:tcPr>
          <w:p w14:paraId="4FB5C4BC">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rightChars="0" w:hanging="8"/>
              <w:jc w:val="left"/>
              <w:textAlignment w:val="auto"/>
              <w:rPr>
                <w:rFonts w:hint="eastAsia" w:ascii="宋体" w:hAnsi="宋体" w:eastAsia="宋体" w:cs="宋体"/>
                <w:spacing w:val="0"/>
                <w:sz w:val="24"/>
                <w:szCs w:val="24"/>
                <w:highlight w:val="none"/>
              </w:rPr>
            </w:pPr>
            <w:r>
              <w:rPr>
                <w:rFonts w:hint="eastAsia" w:ascii="宋体" w:hAnsi="宋体" w:eastAsia="宋体" w:cs="宋体"/>
                <w:b w:val="0"/>
                <w:bCs w:val="0"/>
                <w:color w:val="auto"/>
                <w:spacing w:val="0"/>
                <w:sz w:val="24"/>
                <w:szCs w:val="24"/>
                <w:highlight w:val="none"/>
              </w:rPr>
              <w:t>具体负责项目的日常管理工作以及与采购人的沟通协调</w:t>
            </w:r>
            <w:r>
              <w:rPr>
                <w:rFonts w:hint="eastAsia" w:ascii="宋体" w:hAnsi="宋体" w:eastAsia="宋体" w:cs="宋体"/>
                <w:b w:val="0"/>
                <w:bCs w:val="0"/>
                <w:color w:val="auto"/>
                <w:spacing w:val="0"/>
                <w:sz w:val="24"/>
                <w:szCs w:val="24"/>
                <w:highlight w:val="none"/>
                <w:lang w:val="en-US" w:eastAsia="zh-CN"/>
              </w:rPr>
              <w:t>有关</w:t>
            </w:r>
            <w:r>
              <w:rPr>
                <w:rFonts w:hint="eastAsia" w:ascii="宋体" w:hAnsi="宋体" w:eastAsia="宋体" w:cs="宋体"/>
                <w:b w:val="0"/>
                <w:bCs w:val="0"/>
                <w:color w:val="auto"/>
                <w:spacing w:val="0"/>
                <w:sz w:val="24"/>
                <w:szCs w:val="24"/>
                <w:highlight w:val="none"/>
              </w:rPr>
              <w:t>事宜</w:t>
            </w:r>
            <w:r>
              <w:rPr>
                <w:rFonts w:hint="eastAsia" w:ascii="宋体" w:hAnsi="宋体" w:eastAsia="宋体" w:cs="宋体"/>
                <w:b w:val="0"/>
                <w:bCs w:val="0"/>
                <w:color w:val="auto"/>
                <w:spacing w:val="0"/>
                <w:sz w:val="24"/>
                <w:szCs w:val="24"/>
                <w:highlight w:val="none"/>
                <w:lang w:eastAsia="zh-CN"/>
              </w:rPr>
              <w:t>。</w:t>
            </w:r>
          </w:p>
        </w:tc>
        <w:tc>
          <w:tcPr>
            <w:tcW w:w="2838" w:type="dxa"/>
            <w:noWrap w:val="0"/>
            <w:vAlign w:val="center"/>
          </w:tcPr>
          <w:p w14:paraId="1EEC6799">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年龄不超过50周岁，</w:t>
            </w:r>
            <w:r>
              <w:rPr>
                <w:rFonts w:hint="eastAsia" w:ascii="宋体" w:hAnsi="宋体" w:eastAsia="宋体" w:cs="宋体"/>
                <w:spacing w:val="0"/>
                <w:sz w:val="24"/>
                <w:szCs w:val="24"/>
                <w:highlight w:val="none"/>
                <w:lang w:val="en-US" w:eastAsia="zh-CN"/>
              </w:rPr>
              <w:t>具有大专及以上学历；具有全国物业项目经理证书</w:t>
            </w:r>
            <w:r>
              <w:rPr>
                <w:rFonts w:hint="eastAsia" w:ascii="宋体" w:hAnsi="宋体" w:eastAsia="宋体" w:cs="宋体"/>
                <w:b w:val="0"/>
                <w:bCs w:val="0"/>
                <w:kern w:val="0"/>
                <w:sz w:val="22"/>
                <w:szCs w:val="22"/>
                <w:highlight w:val="none"/>
                <w:lang w:val="en-US" w:eastAsia="en-US" w:bidi="zh-CN"/>
              </w:rPr>
              <w:t>（或全国物业管理企业经理证书）</w:t>
            </w:r>
            <w:r>
              <w:rPr>
                <w:rFonts w:hint="eastAsia" w:ascii="宋体" w:hAnsi="宋体" w:eastAsia="宋体" w:cs="宋体"/>
                <w:spacing w:val="0"/>
                <w:sz w:val="24"/>
                <w:szCs w:val="24"/>
                <w:highlight w:val="none"/>
                <w:lang w:val="en-US" w:eastAsia="zh-CN"/>
              </w:rPr>
              <w:t>。</w:t>
            </w:r>
          </w:p>
        </w:tc>
      </w:tr>
      <w:tr w14:paraId="31EA2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9" w:hRule="atLeast"/>
          <w:jc w:val="center"/>
        </w:trPr>
        <w:tc>
          <w:tcPr>
            <w:tcW w:w="633" w:type="dxa"/>
            <w:noWrap w:val="0"/>
            <w:vAlign w:val="center"/>
          </w:tcPr>
          <w:p w14:paraId="22E438E8">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2</w:t>
            </w:r>
          </w:p>
        </w:tc>
        <w:tc>
          <w:tcPr>
            <w:tcW w:w="1200" w:type="dxa"/>
            <w:noWrap w:val="0"/>
            <w:vAlign w:val="center"/>
          </w:tcPr>
          <w:p w14:paraId="7F05EED0">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综合主管</w:t>
            </w:r>
          </w:p>
          <w:p w14:paraId="43D8771D">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（副总经理）</w:t>
            </w:r>
          </w:p>
        </w:tc>
        <w:tc>
          <w:tcPr>
            <w:tcW w:w="815" w:type="dxa"/>
            <w:noWrap w:val="0"/>
            <w:vAlign w:val="center"/>
          </w:tcPr>
          <w:p w14:paraId="3DABDCEF">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1</w:t>
            </w:r>
          </w:p>
        </w:tc>
        <w:tc>
          <w:tcPr>
            <w:tcW w:w="3602" w:type="dxa"/>
            <w:noWrap w:val="0"/>
            <w:vAlign w:val="center"/>
          </w:tcPr>
          <w:p w14:paraId="3A0B2F7D">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z w:val="24"/>
                <w:szCs w:val="24"/>
                <w:highlight w:val="none"/>
                <w:lang w:val="en-US" w:eastAsia="zh-CN"/>
              </w:rPr>
              <w:t>主要负责</w:t>
            </w:r>
            <w:r>
              <w:rPr>
                <w:rFonts w:hint="eastAsia" w:ascii="宋体" w:hAnsi="宋体" w:eastAsia="宋体" w:cs="宋体"/>
                <w:sz w:val="24"/>
                <w:szCs w:val="24"/>
                <w:highlight w:val="none"/>
              </w:rPr>
              <w:t>全面统筹小区日常整体运营管理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人员管理、培训与绩效考核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业主关系、投诉与纠纷管控</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工程、设施设备与装修管控</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秩序、环境、消防安全管理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台账、物资、费用与行政内务</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应急事件统一指挥处置</w:t>
            </w:r>
            <w:r>
              <w:rPr>
                <w:rFonts w:hint="eastAsia" w:ascii="宋体" w:hAnsi="宋体" w:eastAsia="宋体" w:cs="宋体"/>
                <w:sz w:val="24"/>
                <w:szCs w:val="24"/>
                <w:highlight w:val="none"/>
                <w:lang w:val="en-US" w:eastAsia="zh-CN"/>
              </w:rPr>
              <w:t>等。</w:t>
            </w:r>
          </w:p>
        </w:tc>
        <w:tc>
          <w:tcPr>
            <w:tcW w:w="2838" w:type="dxa"/>
            <w:noWrap w:val="0"/>
            <w:vAlign w:val="center"/>
          </w:tcPr>
          <w:p w14:paraId="6D3DD6B6">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具有大专及以上学历，具有全国物业项目经理证书</w:t>
            </w:r>
            <w:r>
              <w:rPr>
                <w:rFonts w:hint="eastAsia" w:ascii="宋体" w:hAnsi="宋体" w:eastAsia="宋体" w:cs="宋体"/>
                <w:b w:val="0"/>
                <w:bCs w:val="0"/>
                <w:kern w:val="0"/>
                <w:sz w:val="22"/>
                <w:szCs w:val="22"/>
                <w:highlight w:val="none"/>
                <w:lang w:val="en-US" w:eastAsia="en-US" w:bidi="zh-CN"/>
              </w:rPr>
              <w:t>（或全国物业管理企业经理证书）</w:t>
            </w:r>
            <w:r>
              <w:rPr>
                <w:rFonts w:hint="eastAsia" w:ascii="宋体" w:hAnsi="宋体" w:eastAsia="宋体" w:cs="宋体"/>
                <w:b w:val="0"/>
                <w:bCs w:val="0"/>
                <w:color w:val="auto"/>
                <w:spacing w:val="0"/>
                <w:sz w:val="24"/>
                <w:szCs w:val="24"/>
                <w:highlight w:val="none"/>
                <w:lang w:val="en-US" w:eastAsia="zh-CN"/>
              </w:rPr>
              <w:t>。</w:t>
            </w:r>
          </w:p>
        </w:tc>
      </w:tr>
      <w:tr w14:paraId="5431A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9" w:hRule="atLeast"/>
          <w:jc w:val="center"/>
        </w:trPr>
        <w:tc>
          <w:tcPr>
            <w:tcW w:w="633" w:type="dxa"/>
            <w:noWrap w:val="0"/>
            <w:vAlign w:val="center"/>
          </w:tcPr>
          <w:p w14:paraId="622B1DFD">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2</w:t>
            </w:r>
          </w:p>
        </w:tc>
        <w:tc>
          <w:tcPr>
            <w:tcW w:w="1200" w:type="dxa"/>
            <w:noWrap w:val="0"/>
            <w:vAlign w:val="center"/>
          </w:tcPr>
          <w:p w14:paraId="595E2286">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工程主管及技术人员</w:t>
            </w:r>
          </w:p>
        </w:tc>
        <w:tc>
          <w:tcPr>
            <w:tcW w:w="815" w:type="dxa"/>
            <w:noWrap w:val="0"/>
            <w:vAlign w:val="center"/>
          </w:tcPr>
          <w:p w14:paraId="0D31FE19">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8</w:t>
            </w:r>
          </w:p>
        </w:tc>
        <w:tc>
          <w:tcPr>
            <w:tcW w:w="3602" w:type="dxa"/>
            <w:noWrap w:val="0"/>
            <w:vAlign w:val="center"/>
          </w:tcPr>
          <w:p w14:paraId="7A62649F">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主要负责公共设施设备日常巡检养护、业主户内维修服务、消防设施维护管理、电梯专项管理、装修现场监管与房屋本体维修等</w:t>
            </w:r>
          </w:p>
          <w:p w14:paraId="2ABA7168">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（1）工程主管1人</w:t>
            </w:r>
          </w:p>
          <w:p w14:paraId="0AA8113D">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（2）设施基础维修服务3人（其中泥瓦工1人、木工1人，水电工1人，工具自备）</w:t>
            </w:r>
          </w:p>
          <w:p w14:paraId="3A50090A">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（3）绿植养护工1人</w:t>
            </w:r>
          </w:p>
          <w:p w14:paraId="0A7DDFB3">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（4）电梯维保人员1人（电梯维保服务可外包）</w:t>
            </w:r>
          </w:p>
          <w:p w14:paraId="3860FE9E">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（5）消防管理员2人（消防管理服务可外包）</w:t>
            </w:r>
          </w:p>
        </w:tc>
        <w:tc>
          <w:tcPr>
            <w:tcW w:w="2838" w:type="dxa"/>
            <w:noWrap w:val="0"/>
            <w:vAlign w:val="center"/>
          </w:tcPr>
          <w:p w14:paraId="2D9B18E1">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（1）工程主管要求：男性，年龄不超过50岁；</w:t>
            </w:r>
            <w:r>
              <w:rPr>
                <w:rFonts w:hint="eastAsia" w:ascii="宋体" w:hAnsi="宋体" w:eastAsia="宋体" w:cs="宋体"/>
                <w:color w:val="000000" w:themeColor="text1"/>
                <w:sz w:val="24"/>
                <w:szCs w:val="24"/>
                <w:highlight w:val="none"/>
                <w:lang w:val="en-US" w:eastAsia="zh-CN"/>
                <w14:textFill>
                  <w14:solidFill>
                    <w14:schemeClr w14:val="tx1"/>
                  </w14:solidFill>
                </w14:textFill>
              </w:rPr>
              <w:t>具有电工证书或中级及以上消防设施操作证书或</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特种设备安全管理和作业人员（安全员）证</w:t>
            </w:r>
            <w:r>
              <w:rPr>
                <w:rFonts w:hint="eastAsia" w:ascii="宋体" w:hAnsi="宋体" w:eastAsia="宋体" w:cs="宋体"/>
                <w:color w:val="000000" w:themeColor="text1"/>
                <w:sz w:val="24"/>
                <w:szCs w:val="24"/>
                <w:highlight w:val="none"/>
                <w:lang w:val="en-US" w:eastAsia="zh-CN"/>
                <w14:textFill>
                  <w14:solidFill>
                    <w14:schemeClr w14:val="tx1"/>
                  </w14:solidFill>
                </w14:textFill>
              </w:rPr>
              <w:t>，三个证至少具备一个，另两个证需配备具备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该证件</w:t>
            </w:r>
            <w:r>
              <w:rPr>
                <w:rFonts w:hint="eastAsia" w:ascii="宋体" w:hAnsi="宋体" w:eastAsia="宋体" w:cs="宋体"/>
                <w:color w:val="000000" w:themeColor="text1"/>
                <w:sz w:val="24"/>
                <w:szCs w:val="24"/>
                <w:highlight w:val="none"/>
                <w:lang w:val="en-US" w:eastAsia="zh-CN"/>
                <w14:textFill>
                  <w14:solidFill>
                    <w14:schemeClr w14:val="tx1"/>
                  </w14:solidFill>
                </w14:textFill>
              </w:rPr>
              <w:t>的普通岗位人员；</w:t>
            </w:r>
          </w:p>
          <w:p w14:paraId="58BBEC23">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（2）水电工拥有电工证；</w:t>
            </w:r>
          </w:p>
          <w:p w14:paraId="06340537">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rPr>
            </w:pPr>
            <w:r>
              <w:rPr>
                <w:rFonts w:hint="eastAsia" w:ascii="宋体" w:hAnsi="宋体" w:eastAsia="宋体" w:cs="宋体"/>
                <w:b w:val="0"/>
                <w:bCs w:val="0"/>
                <w:color w:val="auto"/>
                <w:spacing w:val="0"/>
                <w:sz w:val="24"/>
                <w:szCs w:val="24"/>
                <w:highlight w:val="none"/>
                <w:lang w:val="en-US" w:eastAsia="zh-CN"/>
              </w:rPr>
              <w:t>（3）消防管理员具有中级及以上消防设施操作证书。</w:t>
            </w:r>
          </w:p>
        </w:tc>
      </w:tr>
      <w:tr w14:paraId="73F42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6" w:hRule="atLeast"/>
          <w:jc w:val="center"/>
        </w:trPr>
        <w:tc>
          <w:tcPr>
            <w:tcW w:w="633" w:type="dxa"/>
            <w:noWrap w:val="0"/>
            <w:vAlign w:val="center"/>
          </w:tcPr>
          <w:p w14:paraId="38202887">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3</w:t>
            </w:r>
          </w:p>
        </w:tc>
        <w:tc>
          <w:tcPr>
            <w:tcW w:w="1200" w:type="dxa"/>
            <w:noWrap w:val="0"/>
            <w:vAlign w:val="center"/>
          </w:tcPr>
          <w:p w14:paraId="11A85C5B">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保洁主管及保洁人员</w:t>
            </w:r>
          </w:p>
        </w:tc>
        <w:tc>
          <w:tcPr>
            <w:tcW w:w="815" w:type="dxa"/>
            <w:noWrap w:val="0"/>
            <w:vAlign w:val="center"/>
          </w:tcPr>
          <w:p w14:paraId="36BA7CDC">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default"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23</w:t>
            </w:r>
          </w:p>
        </w:tc>
        <w:tc>
          <w:tcPr>
            <w:tcW w:w="3602" w:type="dxa"/>
            <w:noWrap w:val="0"/>
            <w:vAlign w:val="center"/>
          </w:tcPr>
          <w:p w14:paraId="63DC01FF">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主要负责公共区域日常清扫保洁、垃圾收集与清运、</w:t>
            </w:r>
            <w:r>
              <w:rPr>
                <w:rFonts w:hint="eastAsia" w:ascii="宋体" w:hAnsi="宋体" w:eastAsia="宋体" w:cs="宋体"/>
                <w:sz w:val="24"/>
                <w:szCs w:val="24"/>
                <w:highlight w:val="none"/>
              </w:rPr>
              <w:t>地下室、消防通道保洁</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卫生消杀与除污处理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垃圾杂物、装修垃圾管理</w:t>
            </w:r>
            <w:r>
              <w:rPr>
                <w:rFonts w:hint="eastAsia" w:ascii="宋体" w:hAnsi="宋体" w:eastAsia="宋体" w:cs="宋体"/>
                <w:sz w:val="24"/>
                <w:szCs w:val="24"/>
                <w:highlight w:val="none"/>
                <w:lang w:val="en-US" w:eastAsia="zh-CN"/>
              </w:rPr>
              <w:t>等</w:t>
            </w:r>
          </w:p>
          <w:p w14:paraId="28D41E3E">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（1）保洁主管1人</w:t>
            </w:r>
          </w:p>
          <w:p w14:paraId="00C9342F">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（2）保洁员20人</w:t>
            </w:r>
          </w:p>
        </w:tc>
        <w:tc>
          <w:tcPr>
            <w:tcW w:w="2838" w:type="dxa"/>
            <w:noWrap w:val="0"/>
            <w:vAlign w:val="center"/>
          </w:tcPr>
          <w:p w14:paraId="51F14658">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保洁主管，年龄不超过55周岁；</w:t>
            </w:r>
          </w:p>
          <w:p w14:paraId="2BDE2DB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rPr>
              <w:t>投标人配备必要的器械（扫地车、洒水车、高压水枪、拖地器械等）</w:t>
            </w:r>
            <w:r>
              <w:rPr>
                <w:rFonts w:hint="eastAsia" w:ascii="宋体" w:hAnsi="宋体" w:eastAsia="宋体" w:cs="宋体"/>
                <w:spacing w:val="0"/>
                <w:sz w:val="24"/>
                <w:szCs w:val="24"/>
                <w:highlight w:val="none"/>
                <w:lang w:eastAsia="zh-CN"/>
              </w:rPr>
              <w:t>。</w:t>
            </w:r>
          </w:p>
        </w:tc>
      </w:tr>
      <w:tr w14:paraId="39128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8" w:hRule="atLeast"/>
          <w:jc w:val="center"/>
        </w:trPr>
        <w:tc>
          <w:tcPr>
            <w:tcW w:w="633" w:type="dxa"/>
            <w:noWrap w:val="0"/>
            <w:vAlign w:val="center"/>
          </w:tcPr>
          <w:p w14:paraId="6B2EB927">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jc w:val="center"/>
              <w:textAlignment w:val="auto"/>
              <w:rPr>
                <w:rFonts w:hint="eastAsia" w:ascii="宋体" w:hAnsi="宋体" w:eastAsia="宋体" w:cs="宋体"/>
                <w:spacing w:val="0"/>
                <w:kern w:val="2"/>
                <w:sz w:val="24"/>
                <w:szCs w:val="24"/>
                <w:highlight w:val="none"/>
                <w:lang w:val="en-US" w:eastAsia="en-US" w:bidi="ar-SA"/>
              </w:rPr>
            </w:pPr>
            <w:r>
              <w:rPr>
                <w:rFonts w:hint="eastAsia" w:ascii="宋体" w:hAnsi="宋体" w:eastAsia="宋体" w:cs="宋体"/>
                <w:spacing w:val="0"/>
                <w:sz w:val="24"/>
                <w:szCs w:val="24"/>
                <w:highlight w:val="none"/>
              </w:rPr>
              <w:t>4</w:t>
            </w:r>
          </w:p>
        </w:tc>
        <w:tc>
          <w:tcPr>
            <w:tcW w:w="1200" w:type="dxa"/>
            <w:noWrap w:val="0"/>
            <w:vAlign w:val="center"/>
          </w:tcPr>
          <w:p w14:paraId="1AC7DD97">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jc w:val="center"/>
              <w:textAlignment w:val="auto"/>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sz w:val="24"/>
                <w:szCs w:val="24"/>
                <w:highlight w:val="none"/>
                <w:lang w:val="en-US" w:eastAsia="zh-CN"/>
              </w:rPr>
              <w:t>安保主管及保安员</w:t>
            </w:r>
          </w:p>
        </w:tc>
        <w:tc>
          <w:tcPr>
            <w:tcW w:w="815" w:type="dxa"/>
            <w:noWrap w:val="0"/>
            <w:vAlign w:val="center"/>
          </w:tcPr>
          <w:p w14:paraId="610D6DAA">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jc w:val="center"/>
              <w:textAlignment w:val="auto"/>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sz w:val="24"/>
                <w:szCs w:val="24"/>
                <w:highlight w:val="none"/>
                <w:lang w:val="en-US" w:eastAsia="zh-CN"/>
              </w:rPr>
              <w:t>16</w:t>
            </w:r>
          </w:p>
        </w:tc>
        <w:tc>
          <w:tcPr>
            <w:tcW w:w="3602" w:type="dxa"/>
            <w:noWrap w:val="0"/>
            <w:vAlign w:val="center"/>
          </w:tcPr>
          <w:p w14:paraId="6F56A524">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z w:val="24"/>
                <w:szCs w:val="24"/>
                <w:highlight w:val="none"/>
                <w:lang w:val="en-US" w:eastAsia="zh-CN"/>
              </w:rPr>
              <w:t>主要负责</w:t>
            </w:r>
            <w:r>
              <w:rPr>
                <w:rFonts w:hint="eastAsia" w:ascii="宋体" w:hAnsi="宋体" w:eastAsia="宋体" w:cs="宋体"/>
                <w:sz w:val="24"/>
                <w:szCs w:val="24"/>
                <w:highlight w:val="none"/>
              </w:rPr>
              <w:t>门岗值守管理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园区巡逻安防</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车辆与停车管理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消防安全管理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秩序维护与纠纷处理</w:t>
            </w:r>
            <w:r>
              <w:rPr>
                <w:rFonts w:hint="eastAsia" w:ascii="宋体" w:hAnsi="宋体" w:eastAsia="宋体" w:cs="宋体"/>
                <w:sz w:val="24"/>
                <w:szCs w:val="24"/>
                <w:highlight w:val="none"/>
                <w:lang w:val="en-US" w:eastAsia="zh-CN"/>
              </w:rPr>
              <w:t>等</w:t>
            </w:r>
          </w:p>
          <w:p w14:paraId="0EBA8BB4">
            <w:pPr>
              <w:pStyle w:val="25"/>
              <w:keepNext w:val="0"/>
              <w:keepLines w:val="0"/>
              <w:pageBreakBefore w:val="0"/>
              <w:widowControl w:val="0"/>
              <w:numPr>
                <w:ilvl w:val="0"/>
                <w:numId w:val="3"/>
              </w:numPr>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保安主管1人</w:t>
            </w:r>
          </w:p>
          <w:p w14:paraId="1B53A424">
            <w:pPr>
              <w:pStyle w:val="25"/>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right="0" w:rightChars="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（2）保安员15人</w:t>
            </w:r>
          </w:p>
        </w:tc>
        <w:tc>
          <w:tcPr>
            <w:tcW w:w="2838" w:type="dxa"/>
            <w:noWrap w:val="0"/>
            <w:vAlign w:val="center"/>
          </w:tcPr>
          <w:p w14:paraId="25B3AD6E">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保安主管年龄不超过55周岁，具有保安员证；</w:t>
            </w:r>
          </w:p>
          <w:p w14:paraId="189F5E52">
            <w:pPr>
              <w:keepNext w:val="0"/>
              <w:keepLines w:val="0"/>
              <w:pageBreakBefore w:val="0"/>
              <w:widowControl w:val="0"/>
              <w:numPr>
                <w:ilvl w:val="0"/>
                <w:numId w:val="4"/>
              </w:numPr>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b w:val="0"/>
                <w:bCs w:val="0"/>
                <w:color w:val="auto"/>
                <w:spacing w:val="0"/>
                <w:sz w:val="24"/>
                <w:szCs w:val="24"/>
                <w:highlight w:val="none"/>
                <w:lang w:val="en-US" w:eastAsia="zh-CN"/>
              </w:rPr>
              <w:t>其余保安员要求：年龄不超过60周岁，身体健康，品行端正，无不良记录，持保安证上岗。</w:t>
            </w:r>
          </w:p>
        </w:tc>
      </w:tr>
      <w:tr w14:paraId="51A9B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jc w:val="center"/>
        </w:trPr>
        <w:tc>
          <w:tcPr>
            <w:tcW w:w="633" w:type="dxa"/>
            <w:noWrap w:val="0"/>
            <w:vAlign w:val="center"/>
          </w:tcPr>
          <w:p w14:paraId="0777D0F5">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5</w:t>
            </w:r>
          </w:p>
        </w:tc>
        <w:tc>
          <w:tcPr>
            <w:tcW w:w="1200" w:type="dxa"/>
            <w:noWrap w:val="0"/>
            <w:vAlign w:val="center"/>
          </w:tcPr>
          <w:p w14:paraId="402B406A">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客服</w:t>
            </w:r>
          </w:p>
        </w:tc>
        <w:tc>
          <w:tcPr>
            <w:tcW w:w="815" w:type="dxa"/>
            <w:noWrap w:val="0"/>
            <w:vAlign w:val="center"/>
          </w:tcPr>
          <w:p w14:paraId="58AE357F">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5</w:t>
            </w:r>
          </w:p>
        </w:tc>
        <w:tc>
          <w:tcPr>
            <w:tcW w:w="3602" w:type="dxa"/>
            <w:noWrap w:val="0"/>
            <w:vAlign w:val="center"/>
          </w:tcPr>
          <w:p w14:paraId="615E0793">
            <w:pPr>
              <w:pStyle w:val="25"/>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right="0" w:rightChars="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主要负责客户接待与咨询服务、报修、投诉处理闭环管理、收费与台账管理、装修管控服务、小区通知、活动与社群维护、物资、钥匙、公共物品管理、配合各部门协同工作及其他基础工作。</w:t>
            </w:r>
          </w:p>
          <w:p w14:paraId="48A6D7C9">
            <w:pPr>
              <w:pStyle w:val="25"/>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客服主管1人</w:t>
            </w:r>
          </w:p>
          <w:p w14:paraId="69E12B8B">
            <w:pPr>
              <w:pStyle w:val="25"/>
              <w:keepNext w:val="0"/>
              <w:keepLines w:val="0"/>
              <w:pageBreakBefore w:val="0"/>
              <w:widowControl w:val="0"/>
              <w:numPr>
                <w:ilvl w:val="0"/>
                <w:numId w:val="5"/>
              </w:numPr>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客服人员4人</w:t>
            </w:r>
          </w:p>
        </w:tc>
        <w:tc>
          <w:tcPr>
            <w:tcW w:w="2838" w:type="dxa"/>
            <w:noWrap w:val="0"/>
            <w:vAlign w:val="center"/>
          </w:tcPr>
          <w:p w14:paraId="29AEA09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年龄不超过50周岁，身体健康，品行端正。</w:t>
            </w:r>
          </w:p>
          <w:p w14:paraId="7FC0B9F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right="0"/>
              <w:jc w:val="left"/>
              <w:textAlignment w:val="auto"/>
              <w:rPr>
                <w:rFonts w:hint="eastAsia" w:ascii="宋体" w:hAnsi="宋体" w:eastAsia="宋体" w:cs="宋体"/>
                <w:b w:val="0"/>
                <w:bCs w:val="0"/>
                <w:color w:val="auto"/>
                <w:spacing w:val="0"/>
                <w:sz w:val="24"/>
                <w:szCs w:val="24"/>
                <w:highlight w:val="none"/>
                <w:lang w:val="en-US" w:eastAsia="zh-CN"/>
              </w:rPr>
            </w:pPr>
          </w:p>
        </w:tc>
      </w:tr>
      <w:tr w14:paraId="3ABA0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1833" w:type="dxa"/>
            <w:gridSpan w:val="2"/>
            <w:noWrap w:val="0"/>
            <w:vAlign w:val="center"/>
          </w:tcPr>
          <w:p w14:paraId="49D833D8">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jc w:val="center"/>
              <w:textAlignment w:val="auto"/>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合计</w:t>
            </w:r>
          </w:p>
        </w:tc>
        <w:tc>
          <w:tcPr>
            <w:tcW w:w="815" w:type="dxa"/>
            <w:noWrap w:val="0"/>
            <w:vAlign w:val="center"/>
          </w:tcPr>
          <w:p w14:paraId="49D1B307">
            <w:pPr>
              <w:pStyle w:val="25"/>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jc w:val="center"/>
              <w:textAlignment w:val="auto"/>
              <w:rPr>
                <w:rFonts w:hint="default"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lang w:val="en-US" w:eastAsia="zh-CN"/>
              </w:rPr>
              <w:t>54</w:t>
            </w:r>
          </w:p>
        </w:tc>
        <w:tc>
          <w:tcPr>
            <w:tcW w:w="3602" w:type="dxa"/>
            <w:noWrap w:val="0"/>
            <w:vAlign w:val="center"/>
          </w:tcPr>
          <w:p w14:paraId="6829D286">
            <w:pPr>
              <w:pStyle w:val="25"/>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right="0" w:firstLine="0" w:firstLineChars="0"/>
              <w:jc w:val="center"/>
              <w:textAlignment w:val="auto"/>
              <w:rPr>
                <w:rFonts w:hint="eastAsia" w:ascii="宋体" w:hAnsi="宋体" w:eastAsia="宋体" w:cs="宋体"/>
                <w:b w:val="0"/>
                <w:bCs w:val="0"/>
                <w:color w:val="auto"/>
                <w:spacing w:val="0"/>
                <w:sz w:val="24"/>
                <w:szCs w:val="24"/>
                <w:highlight w:val="none"/>
                <w:lang w:eastAsia="zh-CN"/>
              </w:rPr>
            </w:pPr>
          </w:p>
        </w:tc>
        <w:tc>
          <w:tcPr>
            <w:tcW w:w="2838" w:type="dxa"/>
            <w:noWrap w:val="0"/>
            <w:vAlign w:val="center"/>
          </w:tcPr>
          <w:p w14:paraId="72296070">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center"/>
              <w:textAlignment w:val="auto"/>
              <w:rPr>
                <w:rFonts w:hint="eastAsia" w:ascii="宋体" w:hAnsi="宋体" w:eastAsia="宋体" w:cs="宋体"/>
                <w:b w:val="0"/>
                <w:bCs w:val="0"/>
                <w:color w:val="auto"/>
                <w:spacing w:val="0"/>
                <w:sz w:val="24"/>
                <w:szCs w:val="24"/>
                <w:highlight w:val="none"/>
                <w:lang w:val="en-US" w:eastAsia="zh-CN"/>
              </w:rPr>
            </w:pPr>
          </w:p>
        </w:tc>
      </w:tr>
    </w:tbl>
    <w:p w14:paraId="0401BC15">
      <w:pPr>
        <w:keepNext w:val="0"/>
        <w:keepLines w:val="0"/>
        <w:pageBreakBefore w:val="0"/>
        <w:widowControl w:val="0"/>
        <w:kinsoku/>
        <w:wordWrap/>
        <w:overflowPunct/>
        <w:topLinePunct w:val="0"/>
        <w:bidi w:val="0"/>
        <w:adjustRightInd w:val="0"/>
        <w:snapToGrid w:val="0"/>
        <w:spacing w:line="360" w:lineRule="auto"/>
        <w:ind w:left="0" w:right="0"/>
        <w:textAlignment w:val="auto"/>
        <w:rPr>
          <w:rFonts w:hint="eastAsia" w:ascii="宋体" w:hAnsi="宋体" w:eastAsia="宋体" w:cs="宋体"/>
          <w:spacing w:val="0"/>
          <w:sz w:val="24"/>
          <w:szCs w:val="24"/>
        </w:rPr>
      </w:pPr>
    </w:p>
    <w:p w14:paraId="6929BCB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b w:val="0"/>
          <w:bCs w:val="0"/>
          <w:color w:val="auto"/>
          <w:spacing w:val="0"/>
          <w:sz w:val="24"/>
          <w:szCs w:val="24"/>
          <w:highlight w:val="none"/>
          <w:lang w:val="en-US" w:eastAsia="zh-CN"/>
        </w:rPr>
      </w:pPr>
      <w:r>
        <w:rPr>
          <w:rFonts w:hint="eastAsia" w:ascii="宋体" w:hAnsi="宋体" w:eastAsia="宋体" w:cs="宋体"/>
          <w:b w:val="0"/>
          <w:bCs w:val="0"/>
          <w:color w:val="auto"/>
          <w:spacing w:val="0"/>
          <w:sz w:val="24"/>
          <w:szCs w:val="24"/>
          <w:highlight w:val="none"/>
          <w:lang w:val="en-US" w:eastAsia="zh-CN"/>
        </w:rPr>
        <w:t>说明：</w:t>
      </w:r>
    </w:p>
    <w:p w14:paraId="0CDC23D7">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0" w:rightChars="0" w:firstLine="482" w:firstLineChars="200"/>
        <w:jc w:val="both"/>
        <w:textAlignment w:val="auto"/>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val="en-US" w:eastAsia="zh-CN"/>
        </w:rPr>
        <w:t>1.以上为本项目最低人员配备要求，投标人须在投标文件中提供人员配备承诺，格式自拟。</w:t>
      </w:r>
    </w:p>
    <w:p w14:paraId="7C215F2B">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lang w:val="en-US" w:eastAsia="zh-CN"/>
        </w:rPr>
        <w:t>2.中标人聘用人员到岗后，须向采购人提供聘用人员名册、有效的身份证（复印件）、相关证书、健康证明等有关材料；中标人提供全部工作人员的工作分工清单，并按照</w:t>
      </w:r>
      <w:r>
        <w:rPr>
          <w:rFonts w:hint="eastAsia" w:ascii="宋体" w:hAnsi="宋体" w:eastAsia="宋体" w:cs="宋体"/>
          <w:color w:val="auto"/>
          <w:spacing w:val="0"/>
          <w:sz w:val="24"/>
          <w:szCs w:val="24"/>
          <w:highlight w:val="none"/>
          <w:lang w:val="en-US" w:eastAsia="zh-CN"/>
        </w:rPr>
        <w:t>采购</w:t>
      </w:r>
      <w:r>
        <w:rPr>
          <w:rFonts w:hint="eastAsia" w:ascii="宋体" w:hAnsi="宋体" w:eastAsia="宋体" w:cs="宋体"/>
          <w:color w:val="auto"/>
          <w:spacing w:val="0"/>
          <w:sz w:val="24"/>
          <w:szCs w:val="24"/>
          <w:highlight w:val="none"/>
        </w:rPr>
        <w:t>要求</w:t>
      </w:r>
      <w:r>
        <w:rPr>
          <w:rFonts w:hint="eastAsia" w:ascii="宋体" w:hAnsi="宋体" w:eastAsia="宋体" w:cs="宋体"/>
          <w:color w:val="auto"/>
          <w:spacing w:val="0"/>
          <w:sz w:val="24"/>
          <w:szCs w:val="24"/>
          <w:highlight w:val="none"/>
          <w:lang w:val="en-US" w:eastAsia="zh-CN"/>
        </w:rPr>
        <w:t>进行考勤，</w:t>
      </w:r>
      <w:r>
        <w:rPr>
          <w:rFonts w:hint="eastAsia" w:ascii="宋体" w:hAnsi="宋体" w:eastAsia="宋体" w:cs="宋体"/>
          <w:b w:val="0"/>
          <w:bCs w:val="0"/>
          <w:color w:val="auto"/>
          <w:spacing w:val="0"/>
          <w:sz w:val="24"/>
          <w:szCs w:val="24"/>
          <w:highlight w:val="none"/>
          <w:lang w:val="en-US" w:eastAsia="zh-CN"/>
        </w:rPr>
        <w:t>每月将人员变动情况和考勤数据提供给采购人。中标人若更换管理人员及专业技术人员需提前向采购人报备，经采购人同意后，方可更换。</w:t>
      </w:r>
    </w:p>
    <w:p w14:paraId="3A44A8E3">
      <w:pPr>
        <w:pStyle w:val="5"/>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rFonts w:hint="eastAsia" w:ascii="宋体" w:hAnsi="宋体" w:eastAsia="宋体" w:cs="宋体"/>
          <w:b w:val="0"/>
          <w:bCs w:val="0"/>
          <w:color w:val="auto"/>
          <w:spacing w:val="0"/>
          <w:sz w:val="24"/>
          <w:szCs w:val="24"/>
          <w:highlight w:val="none"/>
        </w:rPr>
      </w:pPr>
      <w:r>
        <w:rPr>
          <w:rFonts w:hint="eastAsia" w:ascii="宋体" w:hAnsi="宋体" w:eastAsia="宋体" w:cs="宋体"/>
          <w:b w:val="0"/>
          <w:bCs w:val="0"/>
          <w:color w:val="auto"/>
          <w:spacing w:val="0"/>
          <w:sz w:val="24"/>
          <w:szCs w:val="24"/>
          <w:highlight w:val="none"/>
          <w:lang w:val="en-US" w:eastAsia="zh-CN"/>
        </w:rPr>
        <w:t>3.中标人</w:t>
      </w:r>
      <w:r>
        <w:rPr>
          <w:rFonts w:hint="eastAsia" w:ascii="宋体" w:hAnsi="宋体" w:eastAsia="宋体" w:cs="宋体"/>
          <w:b w:val="0"/>
          <w:bCs w:val="0"/>
          <w:color w:val="auto"/>
          <w:spacing w:val="0"/>
          <w:sz w:val="24"/>
          <w:szCs w:val="24"/>
          <w:highlight w:val="none"/>
        </w:rPr>
        <w:t>应依法与聘用人员签订劳动合同</w:t>
      </w:r>
      <w:r>
        <w:rPr>
          <w:rFonts w:hint="eastAsia" w:ascii="宋体" w:hAnsi="宋体" w:eastAsia="宋体" w:cs="宋体"/>
          <w:b w:val="0"/>
          <w:bCs w:val="0"/>
          <w:color w:val="auto"/>
          <w:spacing w:val="0"/>
          <w:sz w:val="24"/>
          <w:szCs w:val="24"/>
          <w:highlight w:val="none"/>
          <w:lang w:eastAsia="zh-CN"/>
        </w:rPr>
        <w:t>，</w:t>
      </w:r>
      <w:r>
        <w:rPr>
          <w:rFonts w:hint="eastAsia" w:ascii="宋体" w:hAnsi="宋体" w:eastAsia="宋体" w:cs="宋体"/>
          <w:b w:val="0"/>
          <w:bCs w:val="0"/>
          <w:color w:val="auto"/>
          <w:spacing w:val="0"/>
          <w:sz w:val="24"/>
          <w:szCs w:val="24"/>
          <w:highlight w:val="none"/>
        </w:rPr>
        <w:t>聘用的所有工作人员发生的任何事故，由</w:t>
      </w:r>
      <w:r>
        <w:rPr>
          <w:rFonts w:hint="eastAsia" w:ascii="宋体" w:hAnsi="宋体" w:eastAsia="宋体" w:cs="宋体"/>
          <w:b w:val="0"/>
          <w:bCs w:val="0"/>
          <w:color w:val="auto"/>
          <w:spacing w:val="0"/>
          <w:sz w:val="24"/>
          <w:szCs w:val="24"/>
          <w:highlight w:val="none"/>
          <w:lang w:val="en-US" w:eastAsia="zh-CN"/>
        </w:rPr>
        <w:t>中标人</w:t>
      </w:r>
      <w:r>
        <w:rPr>
          <w:rFonts w:hint="eastAsia" w:ascii="宋体" w:hAnsi="宋体" w:eastAsia="宋体" w:cs="宋体"/>
          <w:b w:val="0"/>
          <w:bCs w:val="0"/>
          <w:color w:val="auto"/>
          <w:spacing w:val="0"/>
          <w:sz w:val="24"/>
          <w:szCs w:val="24"/>
          <w:highlight w:val="none"/>
        </w:rPr>
        <w:t>承担</w:t>
      </w:r>
      <w:r>
        <w:rPr>
          <w:rFonts w:hint="eastAsia" w:ascii="宋体" w:hAnsi="宋体" w:eastAsia="宋体" w:cs="宋体"/>
          <w:b w:val="0"/>
          <w:bCs w:val="0"/>
          <w:color w:val="auto"/>
          <w:spacing w:val="0"/>
          <w:sz w:val="24"/>
          <w:szCs w:val="24"/>
          <w:highlight w:val="none"/>
          <w:lang w:val="en-US" w:eastAsia="zh-CN"/>
        </w:rPr>
        <w:t>全部</w:t>
      </w:r>
      <w:r>
        <w:rPr>
          <w:rFonts w:hint="eastAsia" w:ascii="宋体" w:hAnsi="宋体" w:eastAsia="宋体" w:cs="宋体"/>
          <w:b w:val="0"/>
          <w:bCs w:val="0"/>
          <w:color w:val="auto"/>
          <w:spacing w:val="0"/>
          <w:sz w:val="24"/>
          <w:szCs w:val="24"/>
          <w:highlight w:val="none"/>
        </w:rPr>
        <w:t>责任与</w:t>
      </w:r>
      <w:r>
        <w:rPr>
          <w:rFonts w:hint="eastAsia" w:ascii="宋体" w:hAnsi="宋体" w:eastAsia="宋体" w:cs="宋体"/>
          <w:b w:val="0"/>
          <w:bCs w:val="0"/>
          <w:color w:val="auto"/>
          <w:spacing w:val="0"/>
          <w:sz w:val="24"/>
          <w:szCs w:val="24"/>
          <w:highlight w:val="none"/>
          <w:lang w:val="en-US" w:eastAsia="zh-CN"/>
        </w:rPr>
        <w:t>采购人</w:t>
      </w:r>
      <w:r>
        <w:rPr>
          <w:rFonts w:hint="eastAsia" w:ascii="宋体" w:hAnsi="宋体" w:eastAsia="宋体" w:cs="宋体"/>
          <w:b w:val="0"/>
          <w:bCs w:val="0"/>
          <w:color w:val="auto"/>
          <w:spacing w:val="0"/>
          <w:sz w:val="24"/>
          <w:szCs w:val="24"/>
          <w:highlight w:val="none"/>
        </w:rPr>
        <w:t>无关。</w:t>
      </w:r>
    </w:p>
    <w:p w14:paraId="4B177B93">
      <w:pPr>
        <w:pStyle w:val="5"/>
        <w:keepNext w:val="0"/>
        <w:keepLines w:val="0"/>
        <w:pageBreakBefore w:val="0"/>
        <w:widowControl w:val="0"/>
        <w:kinsoku/>
        <w:wordWrap/>
        <w:overflowPunct/>
        <w:topLinePunct w:val="0"/>
        <w:autoSpaceDE/>
        <w:autoSpaceDN/>
        <w:bidi w:val="0"/>
        <w:adjustRightInd w:val="0"/>
        <w:snapToGrid w:val="0"/>
        <w:spacing w:line="360" w:lineRule="auto"/>
        <w:ind w:left="0" w:right="0" w:firstLine="480" w:firstLineChars="200"/>
        <w:textAlignment w:val="auto"/>
        <w:rPr>
          <w:color w:val="auto"/>
          <w:spacing w:val="0"/>
          <w:sz w:val="24"/>
          <w:szCs w:val="24"/>
          <w:highlight w:val="none"/>
        </w:rPr>
      </w:pPr>
      <w:r>
        <w:rPr>
          <w:rFonts w:hint="eastAsia" w:ascii="宋体" w:hAnsi="宋体" w:eastAsia="宋体" w:cs="宋体"/>
          <w:b w:val="0"/>
          <w:bCs w:val="0"/>
          <w:color w:val="auto"/>
          <w:spacing w:val="0"/>
          <w:sz w:val="24"/>
          <w:szCs w:val="24"/>
          <w:highlight w:val="none"/>
          <w:lang w:val="en-US" w:eastAsia="zh-CN"/>
        </w:rPr>
        <w:t>4.</w:t>
      </w:r>
      <w:r>
        <w:rPr>
          <w:rFonts w:hint="eastAsia" w:ascii="宋体" w:hAnsi="宋体" w:eastAsia="宋体" w:cs="宋体"/>
          <w:color w:val="auto"/>
          <w:spacing w:val="0"/>
          <w:sz w:val="24"/>
          <w:szCs w:val="24"/>
          <w:highlight w:val="none"/>
        </w:rPr>
        <w:t>凡</w:t>
      </w:r>
      <w:r>
        <w:rPr>
          <w:rFonts w:hint="eastAsia" w:ascii="宋体" w:hAnsi="宋体" w:eastAsia="宋体" w:cs="宋体"/>
          <w:color w:val="auto"/>
          <w:spacing w:val="0"/>
          <w:sz w:val="24"/>
          <w:szCs w:val="24"/>
          <w:highlight w:val="none"/>
          <w:lang w:val="en-US" w:eastAsia="zh-CN"/>
        </w:rPr>
        <w:t>采购人</w:t>
      </w:r>
      <w:r>
        <w:rPr>
          <w:rFonts w:hint="eastAsia" w:ascii="宋体" w:hAnsi="宋体" w:eastAsia="宋体" w:cs="宋体"/>
          <w:color w:val="auto"/>
          <w:spacing w:val="0"/>
          <w:sz w:val="24"/>
          <w:szCs w:val="24"/>
          <w:highlight w:val="none"/>
        </w:rPr>
        <w:t>委托给</w:t>
      </w:r>
      <w:r>
        <w:rPr>
          <w:rFonts w:hint="eastAsia" w:ascii="宋体" w:hAnsi="宋体" w:eastAsia="宋体" w:cs="宋体"/>
          <w:b w:val="0"/>
          <w:bCs w:val="0"/>
          <w:color w:val="auto"/>
          <w:spacing w:val="0"/>
          <w:sz w:val="24"/>
          <w:szCs w:val="24"/>
          <w:highlight w:val="none"/>
          <w:lang w:val="en-US" w:eastAsia="zh-CN"/>
        </w:rPr>
        <w:t>中标人</w:t>
      </w:r>
      <w:r>
        <w:rPr>
          <w:rFonts w:hint="eastAsia" w:ascii="宋体" w:hAnsi="宋体" w:eastAsia="宋体" w:cs="宋体"/>
          <w:color w:val="auto"/>
          <w:spacing w:val="0"/>
          <w:sz w:val="24"/>
          <w:szCs w:val="24"/>
          <w:highlight w:val="none"/>
        </w:rPr>
        <w:t>管理的设施、设备、器具等，确保完好无损，不得出租、转租、转让、变卖。合同终止时，</w:t>
      </w:r>
      <w:r>
        <w:rPr>
          <w:rFonts w:hint="eastAsia" w:ascii="宋体" w:hAnsi="宋体" w:eastAsia="宋体" w:cs="宋体"/>
          <w:b w:val="0"/>
          <w:bCs w:val="0"/>
          <w:color w:val="auto"/>
          <w:spacing w:val="0"/>
          <w:sz w:val="24"/>
          <w:szCs w:val="24"/>
          <w:highlight w:val="none"/>
          <w:lang w:val="en-US" w:eastAsia="zh-CN"/>
        </w:rPr>
        <w:t>中标人</w:t>
      </w:r>
      <w:r>
        <w:rPr>
          <w:rFonts w:hint="eastAsia" w:ascii="宋体" w:hAnsi="宋体" w:eastAsia="宋体" w:cs="宋体"/>
          <w:color w:val="auto"/>
          <w:spacing w:val="0"/>
          <w:sz w:val="24"/>
          <w:szCs w:val="24"/>
          <w:highlight w:val="none"/>
        </w:rPr>
        <w:t>应保质保量地归还给</w:t>
      </w:r>
      <w:r>
        <w:rPr>
          <w:rFonts w:hint="eastAsia" w:ascii="宋体" w:hAnsi="宋体" w:eastAsia="宋体" w:cs="宋体"/>
          <w:color w:val="auto"/>
          <w:spacing w:val="0"/>
          <w:sz w:val="24"/>
          <w:szCs w:val="24"/>
          <w:highlight w:val="none"/>
          <w:lang w:val="en-US" w:eastAsia="zh-CN"/>
        </w:rPr>
        <w:t>采购人</w:t>
      </w:r>
      <w:r>
        <w:rPr>
          <w:rFonts w:hint="eastAsia" w:ascii="宋体" w:hAnsi="宋体" w:eastAsia="宋体" w:cs="宋体"/>
          <w:color w:val="auto"/>
          <w:spacing w:val="0"/>
          <w:sz w:val="24"/>
          <w:szCs w:val="24"/>
          <w:highlight w:val="none"/>
        </w:rPr>
        <w:t>，自然损耗除外。否则，经有关专业人士鉴定评估，</w:t>
      </w:r>
      <w:r>
        <w:rPr>
          <w:rFonts w:hint="eastAsia" w:ascii="宋体" w:hAnsi="宋体" w:eastAsia="宋体" w:cs="宋体"/>
          <w:b w:val="0"/>
          <w:bCs w:val="0"/>
          <w:color w:val="auto"/>
          <w:spacing w:val="0"/>
          <w:sz w:val="24"/>
          <w:szCs w:val="24"/>
          <w:highlight w:val="none"/>
          <w:lang w:val="en-US" w:eastAsia="zh-CN"/>
        </w:rPr>
        <w:t>中标人</w:t>
      </w:r>
      <w:r>
        <w:rPr>
          <w:rFonts w:hint="eastAsia" w:ascii="宋体" w:hAnsi="宋体" w:eastAsia="宋体" w:cs="宋体"/>
          <w:color w:val="auto"/>
          <w:spacing w:val="0"/>
          <w:sz w:val="24"/>
          <w:szCs w:val="24"/>
          <w:highlight w:val="none"/>
        </w:rPr>
        <w:t>应按评估价赔偿给</w:t>
      </w:r>
      <w:r>
        <w:rPr>
          <w:rFonts w:hint="eastAsia" w:ascii="宋体" w:hAnsi="宋体" w:eastAsia="宋体" w:cs="宋体"/>
          <w:color w:val="auto"/>
          <w:spacing w:val="0"/>
          <w:sz w:val="24"/>
          <w:szCs w:val="24"/>
          <w:highlight w:val="none"/>
          <w:lang w:val="en-US" w:eastAsia="zh-CN"/>
        </w:rPr>
        <w:t>采购人</w:t>
      </w:r>
      <w:r>
        <w:rPr>
          <w:rFonts w:hint="eastAsia" w:ascii="宋体" w:hAnsi="宋体" w:eastAsia="宋体" w:cs="宋体"/>
          <w:color w:val="auto"/>
          <w:spacing w:val="0"/>
          <w:sz w:val="24"/>
          <w:szCs w:val="24"/>
          <w:highlight w:val="none"/>
        </w:rPr>
        <w:t>。</w:t>
      </w:r>
    </w:p>
    <w:p w14:paraId="13E71098">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考核机制</w:t>
      </w:r>
    </w:p>
    <w:p w14:paraId="54AB293B">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1.中标人应制订具体的质量保证措施及质量保证。接受考核。</w:t>
      </w:r>
    </w:p>
    <w:p w14:paraId="3A7A67B1">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每季度业委会对物业进行考核（满分100分，每季度不低于1次考核，时间不定，突击考核打分），每年度由全体业主或业委会对物业公司进行考核。年度考核通过后延续下一年度一年期物业服务合同。物业服务考核评分细则见本文件要求</w:t>
      </w:r>
    </w:p>
    <w:p w14:paraId="6A89BB1A">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季度综合考核得分在90分（不含90分）以下的，每低1分记中标人违约金1000元，70分（不含70分）以下的，为考核不称职，挂红牌，下达退场通知书并发函告知社区、街道、报备辖区住保局，在中标人的履约保证金中扣除违约金，并在新任物业服务企业进场承接查验后离场。</w:t>
      </w:r>
    </w:p>
    <w:p w14:paraId="189A6122">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b/>
          <w:bCs/>
          <w:color w:val="auto"/>
          <w:sz w:val="24"/>
          <w:szCs w:val="24"/>
          <w:highlight w:val="none"/>
          <w:lang w:val="en-US" w:eastAsia="zh-CN"/>
        </w:rPr>
        <w:t>3年期主合同期内以及后续所有合作期限内</w:t>
      </w:r>
      <w:r>
        <w:rPr>
          <w:rFonts w:hint="eastAsia" w:ascii="宋体" w:hAnsi="宋体" w:eastAsia="宋体" w:cs="宋体"/>
          <w:color w:val="auto"/>
          <w:sz w:val="24"/>
          <w:szCs w:val="24"/>
          <w:highlight w:val="none"/>
          <w:lang w:val="en-US" w:eastAsia="zh-CN"/>
        </w:rPr>
        <w:t>，由业主和业委会监督随时监督，按物业服务违约金扣款细则执行。</w:t>
      </w:r>
    </w:p>
    <w:p w14:paraId="3A858730">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（3）对拒绝接受上述安排和意见的按（4）处理。</w:t>
      </w:r>
    </w:p>
    <w:p w14:paraId="301CAD7F">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考核不称职的直接挂红牌，下达退场通知书并发函告知社区、街道、报备辖区住保局，在中标人的履约保证金中扣除违约金，并在新任物业服务企业进场承接查验后离场。</w:t>
      </w:r>
    </w:p>
    <w:p w14:paraId="050E143D">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b w:val="0"/>
          <w:bCs w:val="0"/>
          <w:color w:val="auto"/>
          <w:kern w:val="0"/>
          <w:sz w:val="24"/>
          <w:szCs w:val="24"/>
          <w:highlight w:val="none"/>
          <w:lang w:val="en-US" w:eastAsia="zh-CN" w:bidi="ar"/>
        </w:rPr>
      </w:pP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kern w:val="0"/>
          <w:sz w:val="24"/>
          <w:szCs w:val="24"/>
          <w:highlight w:val="none"/>
          <w:lang w:val="en-US" w:eastAsia="zh-CN" w:bidi="ar"/>
        </w:rPr>
        <w:t>考核评分细则</w:t>
      </w:r>
    </w:p>
    <w:tbl>
      <w:tblPr>
        <w:tblStyle w:val="1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5896"/>
        <w:gridCol w:w="2756"/>
      </w:tblGrid>
      <w:tr w14:paraId="4D6F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9287" w:type="dxa"/>
            <w:gridSpan w:val="3"/>
            <w:vAlign w:val="center"/>
          </w:tcPr>
          <w:p w14:paraId="781E499A">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b/>
                <w:bCs/>
                <w:color w:val="auto"/>
                <w:kern w:val="0"/>
                <w:sz w:val="24"/>
                <w:szCs w:val="24"/>
                <w:vertAlign w:val="baseline"/>
                <w:lang w:val="en-US" w:eastAsia="zh-CN" w:bidi="ar"/>
              </w:rPr>
              <w:t>（一）基本要求（25分）</w:t>
            </w:r>
          </w:p>
        </w:tc>
      </w:tr>
      <w:tr w14:paraId="5548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246FCA22">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w:t>
            </w:r>
          </w:p>
        </w:tc>
        <w:tc>
          <w:tcPr>
            <w:tcW w:w="5896" w:type="dxa"/>
            <w:vAlign w:val="center"/>
          </w:tcPr>
          <w:p w14:paraId="4DF61D3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按照合同约定满额配备工作人员，服务与被服务双方签订规范的物业服务合同，双方权利义务关系明确。</w:t>
            </w:r>
          </w:p>
        </w:tc>
        <w:tc>
          <w:tcPr>
            <w:tcW w:w="2756" w:type="dxa"/>
            <w:vAlign w:val="center"/>
          </w:tcPr>
          <w:p w14:paraId="20BC006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10分，发现1处不合格扣5分</w:t>
            </w:r>
          </w:p>
        </w:tc>
      </w:tr>
      <w:tr w14:paraId="06B0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6BE7DEC6">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w:t>
            </w:r>
          </w:p>
        </w:tc>
        <w:tc>
          <w:tcPr>
            <w:tcW w:w="5896" w:type="dxa"/>
            <w:vAlign w:val="center"/>
          </w:tcPr>
          <w:p w14:paraId="5A55A2D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承接项目时，对住宅区共用部位、共用设施设备进行认真查验，验收手续齐全。</w:t>
            </w:r>
          </w:p>
        </w:tc>
        <w:tc>
          <w:tcPr>
            <w:tcW w:w="2756" w:type="dxa"/>
            <w:vAlign w:val="center"/>
          </w:tcPr>
          <w:p w14:paraId="69EEF97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1分，发现1处不符合扣0.1分</w:t>
            </w:r>
          </w:p>
        </w:tc>
      </w:tr>
      <w:tr w14:paraId="7CDF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0AC8CD36">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w:t>
            </w:r>
          </w:p>
        </w:tc>
        <w:tc>
          <w:tcPr>
            <w:tcW w:w="5896" w:type="dxa"/>
            <w:vAlign w:val="center"/>
          </w:tcPr>
          <w:p w14:paraId="5D8BE916">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小区经理及各部门经理具有大专及以上学历，须有全国物业经理上岗证；管理人员、专业操作人员按照国家有关规定取得物业管理职业资格证书或者岗位证书。</w:t>
            </w:r>
          </w:p>
        </w:tc>
        <w:tc>
          <w:tcPr>
            <w:tcW w:w="2756" w:type="dxa"/>
            <w:vAlign w:val="center"/>
          </w:tcPr>
          <w:p w14:paraId="27477EC3">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3分，发现1处不符合扣1分</w:t>
            </w:r>
          </w:p>
        </w:tc>
      </w:tr>
      <w:tr w14:paraId="2DE2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64C13212">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4</w:t>
            </w:r>
          </w:p>
        </w:tc>
        <w:tc>
          <w:tcPr>
            <w:tcW w:w="5896" w:type="dxa"/>
            <w:vAlign w:val="center"/>
          </w:tcPr>
          <w:p w14:paraId="000FD504">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有完善的物业管理方案，质量管理、财务管理、档案管理等制度健全。</w:t>
            </w:r>
          </w:p>
        </w:tc>
        <w:tc>
          <w:tcPr>
            <w:tcW w:w="2756" w:type="dxa"/>
            <w:vAlign w:val="center"/>
          </w:tcPr>
          <w:p w14:paraId="6DFF1B87">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1分，发现1处不符合扣0.2分</w:t>
            </w:r>
          </w:p>
        </w:tc>
      </w:tr>
      <w:tr w14:paraId="2F50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2658B71D">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5</w:t>
            </w:r>
          </w:p>
        </w:tc>
        <w:tc>
          <w:tcPr>
            <w:tcW w:w="5896" w:type="dxa"/>
            <w:vAlign w:val="center"/>
          </w:tcPr>
          <w:p w14:paraId="687F075E">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管理服务人员统一着装、佩戴标志，行为规范，服务主动、热情。</w:t>
            </w:r>
          </w:p>
        </w:tc>
        <w:tc>
          <w:tcPr>
            <w:tcW w:w="2756" w:type="dxa"/>
            <w:vAlign w:val="center"/>
          </w:tcPr>
          <w:p w14:paraId="70AC64C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2分，发现1处不符合扣0.4分</w:t>
            </w:r>
          </w:p>
        </w:tc>
      </w:tr>
      <w:tr w14:paraId="5498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02D950CA">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6</w:t>
            </w:r>
          </w:p>
        </w:tc>
        <w:tc>
          <w:tcPr>
            <w:tcW w:w="5896" w:type="dxa"/>
            <w:vAlign w:val="center"/>
          </w:tcPr>
          <w:p w14:paraId="3676A0BA">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公示24小时服务电话。急修1小时内、其他报修按双方约定时间到达现场，有报修、维修和回访记录。</w:t>
            </w:r>
          </w:p>
        </w:tc>
        <w:tc>
          <w:tcPr>
            <w:tcW w:w="2756" w:type="dxa"/>
            <w:vAlign w:val="center"/>
          </w:tcPr>
          <w:p w14:paraId="4A7B57B6">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4分，发现1处不符合扣1分</w:t>
            </w:r>
          </w:p>
        </w:tc>
      </w:tr>
      <w:tr w14:paraId="2B0D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41E49655">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7</w:t>
            </w:r>
          </w:p>
        </w:tc>
        <w:tc>
          <w:tcPr>
            <w:tcW w:w="5896" w:type="dxa"/>
            <w:vAlign w:val="center"/>
          </w:tcPr>
          <w:p w14:paraId="562DD238">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根据业主需求，提供物业服务合同之外的特约服务和代办服务的，公示服务项目与收费价目。</w:t>
            </w:r>
          </w:p>
        </w:tc>
        <w:tc>
          <w:tcPr>
            <w:tcW w:w="2756" w:type="dxa"/>
            <w:vAlign w:val="center"/>
          </w:tcPr>
          <w:p w14:paraId="14D4B831">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2分，发现1处不符合扣0.2分</w:t>
            </w:r>
          </w:p>
        </w:tc>
      </w:tr>
      <w:tr w14:paraId="4CB0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14902509">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8</w:t>
            </w:r>
          </w:p>
        </w:tc>
        <w:tc>
          <w:tcPr>
            <w:tcW w:w="5896" w:type="dxa"/>
            <w:vAlign w:val="center"/>
          </w:tcPr>
          <w:p w14:paraId="44BEA605">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按有关规定和合同约定公布物业服务费用或者物业服务资金的收支情况。</w:t>
            </w:r>
          </w:p>
        </w:tc>
        <w:tc>
          <w:tcPr>
            <w:tcW w:w="2756" w:type="dxa"/>
            <w:vAlign w:val="center"/>
          </w:tcPr>
          <w:p w14:paraId="565FDC8E">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2分，发现1处不符合扣0.2分</w:t>
            </w:r>
          </w:p>
        </w:tc>
      </w:tr>
      <w:tr w14:paraId="3EC4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A328875">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9</w:t>
            </w:r>
          </w:p>
        </w:tc>
        <w:tc>
          <w:tcPr>
            <w:tcW w:w="5896" w:type="dxa"/>
            <w:vAlign w:val="center"/>
          </w:tcPr>
          <w:p w14:paraId="4AA4735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每年至少1次征询业主对物业服务的意见，基本满意率80%；投诉处理率、维修</w:t>
            </w:r>
          </w:p>
          <w:p w14:paraId="3DC1ECD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及时率≥80%；公共收益上缴、财务公开。</w:t>
            </w:r>
          </w:p>
        </w:tc>
        <w:tc>
          <w:tcPr>
            <w:tcW w:w="2756" w:type="dxa"/>
            <w:vAlign w:val="center"/>
          </w:tcPr>
          <w:p w14:paraId="2F443E9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3分，发现1处不符合扣1分</w:t>
            </w:r>
          </w:p>
        </w:tc>
      </w:tr>
      <w:tr w14:paraId="4DA7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9287" w:type="dxa"/>
            <w:gridSpan w:val="3"/>
            <w:vAlign w:val="center"/>
          </w:tcPr>
          <w:p w14:paraId="555156A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b/>
                <w:bCs/>
                <w:color w:val="auto"/>
                <w:kern w:val="0"/>
                <w:sz w:val="24"/>
                <w:szCs w:val="24"/>
                <w:vertAlign w:val="baseline"/>
                <w:lang w:val="en-US" w:eastAsia="zh-CN" w:bidi="ar"/>
              </w:rPr>
              <w:t>（二）房屋管理（18分）</w:t>
            </w:r>
          </w:p>
        </w:tc>
      </w:tr>
      <w:tr w14:paraId="4BEC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0BC10EC0">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w:t>
            </w:r>
          </w:p>
        </w:tc>
        <w:tc>
          <w:tcPr>
            <w:tcW w:w="5896" w:type="dxa"/>
            <w:vAlign w:val="center"/>
          </w:tcPr>
          <w:p w14:paraId="3E5AC248">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对房屋共用部位进行日常管理和维修养护，检修记录和保养记录齐全。</w:t>
            </w:r>
          </w:p>
        </w:tc>
        <w:tc>
          <w:tcPr>
            <w:tcW w:w="2756" w:type="dxa"/>
            <w:vAlign w:val="center"/>
          </w:tcPr>
          <w:p w14:paraId="3E69E41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3分，发现1处不符合扣0.5分</w:t>
            </w:r>
          </w:p>
        </w:tc>
      </w:tr>
      <w:tr w14:paraId="245F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05E1CC1C">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w:t>
            </w:r>
          </w:p>
        </w:tc>
        <w:tc>
          <w:tcPr>
            <w:tcW w:w="5896" w:type="dxa"/>
            <w:vAlign w:val="center"/>
          </w:tcPr>
          <w:p w14:paraId="2D59E515">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根据房屋实际使用年限，适时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tc>
        <w:tc>
          <w:tcPr>
            <w:tcW w:w="2756" w:type="dxa"/>
            <w:vAlign w:val="center"/>
          </w:tcPr>
          <w:p w14:paraId="5FB2715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2分，发现1处不符合扣0.2分</w:t>
            </w:r>
          </w:p>
        </w:tc>
      </w:tr>
      <w:tr w14:paraId="29D5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C69310D">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w:t>
            </w:r>
          </w:p>
        </w:tc>
        <w:tc>
          <w:tcPr>
            <w:tcW w:w="5896" w:type="dxa"/>
            <w:vAlign w:val="center"/>
          </w:tcPr>
          <w:p w14:paraId="44C48EE5">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每3日巡查1次区房屋单元门、楼梯通道以及其他共用部位的门窗、玻璃等，做好巡查记录，并及时维修养护。</w:t>
            </w:r>
          </w:p>
        </w:tc>
        <w:tc>
          <w:tcPr>
            <w:tcW w:w="2756" w:type="dxa"/>
            <w:vAlign w:val="center"/>
          </w:tcPr>
          <w:p w14:paraId="702D7E1E">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3分，发现1处不符合扣0.1分</w:t>
            </w:r>
          </w:p>
        </w:tc>
      </w:tr>
      <w:tr w14:paraId="4FA8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7381C9D5">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4</w:t>
            </w:r>
          </w:p>
        </w:tc>
        <w:tc>
          <w:tcPr>
            <w:tcW w:w="5896" w:type="dxa"/>
            <w:vAlign w:val="center"/>
          </w:tcPr>
          <w:p w14:paraId="318EE936">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按照住宅装饰装修管理有关规定和业主公约（业主临时公约）要求，建立完善的住宅装饰装修管理制度。装修前，依规定与业主（使用人）、装修管理企业签订协议，告知装修人有关装饰装修的禁止行为和注意事项。每2日巡查1次装修施工现场，发现影响房屋外观、危及房屋结构安全及拆改共用管线等损害公共利益现象的，及时劝阻并报告业主委员会和有关主管部门。</w:t>
            </w:r>
          </w:p>
        </w:tc>
        <w:tc>
          <w:tcPr>
            <w:tcW w:w="2756" w:type="dxa"/>
            <w:vAlign w:val="center"/>
          </w:tcPr>
          <w:p w14:paraId="3C9FBF97">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5分，发现1处不符合扣0.5分</w:t>
            </w:r>
          </w:p>
        </w:tc>
      </w:tr>
      <w:tr w14:paraId="6D2C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28D95BCF">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5</w:t>
            </w:r>
          </w:p>
        </w:tc>
        <w:tc>
          <w:tcPr>
            <w:tcW w:w="5896" w:type="dxa"/>
            <w:vAlign w:val="center"/>
          </w:tcPr>
          <w:p w14:paraId="70673F2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对违反规划私搭乱建和擅自改变房屋用途的行为及时劝阻，并报告业主委员会和有关主管部门。</w:t>
            </w:r>
          </w:p>
        </w:tc>
        <w:tc>
          <w:tcPr>
            <w:tcW w:w="2756" w:type="dxa"/>
            <w:vAlign w:val="center"/>
          </w:tcPr>
          <w:p w14:paraId="5BF6DA6E">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3分，发现1处不符合扣0.3分</w:t>
            </w:r>
          </w:p>
        </w:tc>
      </w:tr>
      <w:tr w14:paraId="7242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6A706F6B">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6</w:t>
            </w:r>
          </w:p>
        </w:tc>
        <w:tc>
          <w:tcPr>
            <w:tcW w:w="5896" w:type="dxa"/>
            <w:vAlign w:val="center"/>
          </w:tcPr>
          <w:p w14:paraId="20ADDD8B">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住宅区主出入口设有小区平面示意图，各组团、栋及单元（门）、户有明显标志。</w:t>
            </w:r>
          </w:p>
        </w:tc>
        <w:tc>
          <w:tcPr>
            <w:tcW w:w="2756" w:type="dxa"/>
            <w:vAlign w:val="center"/>
          </w:tcPr>
          <w:p w14:paraId="5F010495">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2分，发现1处不符合扣0.1分</w:t>
            </w:r>
          </w:p>
        </w:tc>
      </w:tr>
      <w:tr w14:paraId="48D3C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9287" w:type="dxa"/>
            <w:gridSpan w:val="3"/>
            <w:vAlign w:val="center"/>
          </w:tcPr>
          <w:p w14:paraId="27E7C0DA">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b/>
                <w:bCs/>
                <w:color w:val="auto"/>
                <w:kern w:val="0"/>
                <w:sz w:val="24"/>
                <w:szCs w:val="24"/>
                <w:vertAlign w:val="baseline"/>
                <w:lang w:val="en-US" w:eastAsia="zh-CN" w:bidi="ar"/>
              </w:rPr>
              <w:t>（三）共用设施设备维修养护（16分）</w:t>
            </w:r>
          </w:p>
        </w:tc>
      </w:tr>
      <w:tr w14:paraId="7842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1537C7E6">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w:t>
            </w:r>
          </w:p>
        </w:tc>
        <w:tc>
          <w:tcPr>
            <w:tcW w:w="5896" w:type="dxa"/>
            <w:vAlign w:val="center"/>
          </w:tcPr>
          <w:p w14:paraId="2521DDD3">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共用设施设备进行日常管理和维修养护（依法应由专业部门负责的除外）。</w:t>
            </w:r>
          </w:p>
        </w:tc>
        <w:tc>
          <w:tcPr>
            <w:tcW w:w="2756" w:type="dxa"/>
            <w:vAlign w:val="center"/>
          </w:tcPr>
          <w:p w14:paraId="76767D9A">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2分，发现1处不符合扣0.2分</w:t>
            </w:r>
          </w:p>
        </w:tc>
      </w:tr>
      <w:tr w14:paraId="287C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6AC58171">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w:t>
            </w:r>
          </w:p>
        </w:tc>
        <w:tc>
          <w:tcPr>
            <w:tcW w:w="5896" w:type="dxa"/>
            <w:vAlign w:val="center"/>
          </w:tcPr>
          <w:p w14:paraId="20DAC9C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建立共用设施设备档案（设备台账），设施设备的运行、检查、维修、保养等记录齐全。</w:t>
            </w:r>
          </w:p>
        </w:tc>
        <w:tc>
          <w:tcPr>
            <w:tcW w:w="2756" w:type="dxa"/>
            <w:vAlign w:val="center"/>
          </w:tcPr>
          <w:p w14:paraId="334C5A4E">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1分，发现1处不符合扣0.1分</w:t>
            </w:r>
          </w:p>
        </w:tc>
      </w:tr>
      <w:tr w14:paraId="6B1A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64523384">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w:t>
            </w:r>
          </w:p>
        </w:tc>
        <w:tc>
          <w:tcPr>
            <w:tcW w:w="5896" w:type="dxa"/>
            <w:vAlign w:val="center"/>
          </w:tcPr>
          <w:p w14:paraId="6093551B">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设施设备标志齐全、规范，责任人明确；操作维护人员严格执行设施设备操作规程及保养规范；设施设备运行正常。</w:t>
            </w:r>
          </w:p>
        </w:tc>
        <w:tc>
          <w:tcPr>
            <w:tcW w:w="2756" w:type="dxa"/>
            <w:vAlign w:val="center"/>
          </w:tcPr>
          <w:p w14:paraId="6FF8E087">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1分，发现1处不符合扣0.1分</w:t>
            </w:r>
          </w:p>
        </w:tc>
      </w:tr>
      <w:tr w14:paraId="4BD9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1B3A1088">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4</w:t>
            </w:r>
          </w:p>
        </w:tc>
        <w:tc>
          <w:tcPr>
            <w:tcW w:w="5896" w:type="dxa"/>
            <w:vAlign w:val="center"/>
          </w:tcPr>
          <w:p w14:paraId="638E50AC">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tc>
        <w:tc>
          <w:tcPr>
            <w:tcW w:w="2756" w:type="dxa"/>
            <w:vAlign w:val="center"/>
          </w:tcPr>
          <w:p w14:paraId="6D3C27AE">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4分，发现1处不符合扣1分</w:t>
            </w:r>
          </w:p>
        </w:tc>
      </w:tr>
      <w:tr w14:paraId="19E2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6A4B08F6">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5</w:t>
            </w:r>
          </w:p>
        </w:tc>
        <w:tc>
          <w:tcPr>
            <w:tcW w:w="5896" w:type="dxa"/>
            <w:vAlign w:val="center"/>
          </w:tcPr>
          <w:p w14:paraId="5887EC96">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载人电梯24小时正常运行。</w:t>
            </w:r>
          </w:p>
        </w:tc>
        <w:tc>
          <w:tcPr>
            <w:tcW w:w="2756" w:type="dxa"/>
            <w:vAlign w:val="center"/>
          </w:tcPr>
          <w:p w14:paraId="0633AB47">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2分，发现1处不符合扣0.5分</w:t>
            </w:r>
          </w:p>
        </w:tc>
      </w:tr>
      <w:tr w14:paraId="38B81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2AED4BC5">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6</w:t>
            </w:r>
          </w:p>
        </w:tc>
        <w:tc>
          <w:tcPr>
            <w:tcW w:w="5896" w:type="dxa"/>
            <w:vAlign w:val="center"/>
          </w:tcPr>
          <w:p w14:paraId="65E1AE12">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消防设施设备完好，可随时启用；消防通道畅通。</w:t>
            </w:r>
          </w:p>
        </w:tc>
        <w:tc>
          <w:tcPr>
            <w:tcW w:w="2756" w:type="dxa"/>
            <w:vAlign w:val="center"/>
          </w:tcPr>
          <w:p w14:paraId="5C497C28">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2分，发现1处不符合扣0.1分</w:t>
            </w:r>
          </w:p>
        </w:tc>
      </w:tr>
      <w:tr w14:paraId="1FD4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419109D8">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7</w:t>
            </w:r>
          </w:p>
        </w:tc>
        <w:tc>
          <w:tcPr>
            <w:tcW w:w="5896" w:type="dxa"/>
            <w:vAlign w:val="center"/>
          </w:tcPr>
          <w:p w14:paraId="5D07ECE5">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设备房保持整洁、通风，无跑、冒、滴、漏和鼠害现象。</w:t>
            </w:r>
          </w:p>
        </w:tc>
        <w:tc>
          <w:tcPr>
            <w:tcW w:w="2756" w:type="dxa"/>
            <w:vAlign w:val="center"/>
          </w:tcPr>
          <w:p w14:paraId="0A6B09CB">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1分，发现1处不符合扣0.1分</w:t>
            </w:r>
          </w:p>
        </w:tc>
      </w:tr>
      <w:tr w14:paraId="19B2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D688DE2">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8</w:t>
            </w:r>
          </w:p>
        </w:tc>
        <w:tc>
          <w:tcPr>
            <w:tcW w:w="5896" w:type="dxa"/>
            <w:vAlign w:val="center"/>
          </w:tcPr>
          <w:p w14:paraId="5843023B">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路灯、楼道灯完好率不低于90%。</w:t>
            </w:r>
          </w:p>
        </w:tc>
        <w:tc>
          <w:tcPr>
            <w:tcW w:w="2756" w:type="dxa"/>
            <w:vAlign w:val="center"/>
          </w:tcPr>
          <w:p w14:paraId="2C545D4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1分，发现1处不符合扣0.1分</w:t>
            </w:r>
          </w:p>
        </w:tc>
      </w:tr>
      <w:tr w14:paraId="50C6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898D5E6">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9</w:t>
            </w:r>
          </w:p>
        </w:tc>
        <w:tc>
          <w:tcPr>
            <w:tcW w:w="5896" w:type="dxa"/>
            <w:vAlign w:val="center"/>
          </w:tcPr>
          <w:p w14:paraId="62C4BA34">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容易危及人身安全的设施设备有明显警示标志和防范措施，对可能发生的各种突发设备故障有应急方案。</w:t>
            </w:r>
          </w:p>
        </w:tc>
        <w:tc>
          <w:tcPr>
            <w:tcW w:w="2756" w:type="dxa"/>
            <w:vAlign w:val="center"/>
          </w:tcPr>
          <w:p w14:paraId="670DA0F2">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1分，发现1处不符合扣0.1分</w:t>
            </w:r>
          </w:p>
        </w:tc>
      </w:tr>
      <w:tr w14:paraId="7918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51FFFA39">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10</w:t>
            </w:r>
          </w:p>
        </w:tc>
        <w:tc>
          <w:tcPr>
            <w:tcW w:w="5896" w:type="dxa"/>
            <w:vAlign w:val="center"/>
          </w:tcPr>
          <w:p w14:paraId="1A9583B8">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住宅区主要道路及停车场交通标志齐全。</w:t>
            </w:r>
          </w:p>
        </w:tc>
        <w:tc>
          <w:tcPr>
            <w:tcW w:w="2756" w:type="dxa"/>
            <w:vAlign w:val="center"/>
          </w:tcPr>
          <w:p w14:paraId="67D1A9E7">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1分，发现1处不符合扣0.1分</w:t>
            </w:r>
          </w:p>
        </w:tc>
      </w:tr>
      <w:tr w14:paraId="0D5E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9287" w:type="dxa"/>
            <w:gridSpan w:val="3"/>
            <w:vAlign w:val="center"/>
          </w:tcPr>
          <w:p w14:paraId="02279DC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b/>
                <w:bCs/>
                <w:color w:val="auto"/>
                <w:kern w:val="0"/>
                <w:sz w:val="24"/>
                <w:szCs w:val="24"/>
                <w:lang w:val="en-US" w:eastAsia="zh-CN" w:bidi="ar"/>
              </w:rPr>
              <w:t>（四）协助维护公共秩序（20分）</w:t>
            </w:r>
          </w:p>
        </w:tc>
      </w:tr>
      <w:tr w14:paraId="6BCE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61A5446">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w:t>
            </w:r>
          </w:p>
        </w:tc>
        <w:tc>
          <w:tcPr>
            <w:tcW w:w="5896" w:type="dxa"/>
            <w:vAlign w:val="center"/>
          </w:tcPr>
          <w:p w14:paraId="2D83AE43">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住宅区主出入口24小时值勤，其中16小时站岗。</w:t>
            </w:r>
          </w:p>
        </w:tc>
        <w:tc>
          <w:tcPr>
            <w:tcW w:w="2756" w:type="dxa"/>
            <w:vAlign w:val="center"/>
          </w:tcPr>
          <w:p w14:paraId="64988A8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3分，发现1处不符合扣1分</w:t>
            </w:r>
          </w:p>
        </w:tc>
      </w:tr>
      <w:tr w14:paraId="01A3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17DEFBB1">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w:t>
            </w:r>
          </w:p>
        </w:tc>
        <w:tc>
          <w:tcPr>
            <w:tcW w:w="5896" w:type="dxa"/>
            <w:vAlign w:val="center"/>
          </w:tcPr>
          <w:p w14:paraId="719349F5">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住宅区内按规定线路巡逻，每2小时巡查1次，配有安全监控设施的，实施24小时监控。</w:t>
            </w:r>
          </w:p>
        </w:tc>
        <w:tc>
          <w:tcPr>
            <w:tcW w:w="2756" w:type="dxa"/>
            <w:vAlign w:val="center"/>
          </w:tcPr>
          <w:p w14:paraId="50B4442A">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4分，发现1处不符合扣1分</w:t>
            </w:r>
          </w:p>
        </w:tc>
      </w:tr>
      <w:tr w14:paraId="6B9C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708A94B6">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w:t>
            </w:r>
          </w:p>
        </w:tc>
        <w:tc>
          <w:tcPr>
            <w:tcW w:w="5896" w:type="dxa"/>
            <w:vAlign w:val="center"/>
          </w:tcPr>
          <w:p w14:paraId="73E9D8AB">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对进出住宅区的机动车辆进行管理，引导车辆有序通行、停放。</w:t>
            </w:r>
          </w:p>
        </w:tc>
        <w:tc>
          <w:tcPr>
            <w:tcW w:w="2756" w:type="dxa"/>
            <w:vAlign w:val="center"/>
          </w:tcPr>
          <w:p w14:paraId="4E977D0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3分，发现1处不符合扣0.3分</w:t>
            </w:r>
          </w:p>
        </w:tc>
      </w:tr>
      <w:tr w14:paraId="7BF2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4C553561">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4</w:t>
            </w:r>
          </w:p>
        </w:tc>
        <w:tc>
          <w:tcPr>
            <w:tcW w:w="5896" w:type="dxa"/>
            <w:vAlign w:val="center"/>
          </w:tcPr>
          <w:p w14:paraId="7CDA9002">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对进出住宅区的装修等劳务人员实行登记管理。</w:t>
            </w:r>
          </w:p>
        </w:tc>
        <w:tc>
          <w:tcPr>
            <w:tcW w:w="2756" w:type="dxa"/>
            <w:vAlign w:val="center"/>
          </w:tcPr>
          <w:p w14:paraId="4C0EE4B3">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5分，发现1处不符合扣1分</w:t>
            </w:r>
          </w:p>
        </w:tc>
      </w:tr>
      <w:tr w14:paraId="0A5C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07D0AD3">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5</w:t>
            </w:r>
          </w:p>
        </w:tc>
        <w:tc>
          <w:tcPr>
            <w:tcW w:w="5896" w:type="dxa"/>
            <w:vAlign w:val="center"/>
          </w:tcPr>
          <w:p w14:paraId="46E1DF0E">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对火灾、治安、公共卫生等突发事件有应急预案，事发时及时报告业主委员会和有关部门，并协助采取相应措施。</w:t>
            </w:r>
          </w:p>
        </w:tc>
        <w:tc>
          <w:tcPr>
            <w:tcW w:w="2756" w:type="dxa"/>
            <w:vAlign w:val="center"/>
          </w:tcPr>
          <w:p w14:paraId="5701FD0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5分，发现1处不符合扣1分</w:t>
            </w:r>
          </w:p>
        </w:tc>
      </w:tr>
      <w:tr w14:paraId="4991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9287" w:type="dxa"/>
            <w:gridSpan w:val="3"/>
            <w:vAlign w:val="center"/>
          </w:tcPr>
          <w:p w14:paraId="1E17DEE2">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b/>
                <w:bCs/>
                <w:color w:val="auto"/>
                <w:kern w:val="0"/>
                <w:sz w:val="24"/>
                <w:szCs w:val="24"/>
                <w:lang w:val="en-US" w:eastAsia="zh-CN" w:bidi="ar"/>
              </w:rPr>
              <w:t>（五）保洁服务（10分）</w:t>
            </w:r>
          </w:p>
        </w:tc>
      </w:tr>
      <w:tr w14:paraId="3538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59344D0E">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w:t>
            </w:r>
          </w:p>
        </w:tc>
        <w:tc>
          <w:tcPr>
            <w:tcW w:w="5896" w:type="dxa"/>
            <w:vAlign w:val="center"/>
          </w:tcPr>
          <w:p w14:paraId="034F54D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每幢设置垃圾桶，生活垃圾每天清运1次以上。</w:t>
            </w:r>
          </w:p>
        </w:tc>
        <w:tc>
          <w:tcPr>
            <w:tcW w:w="2756" w:type="dxa"/>
            <w:vAlign w:val="center"/>
          </w:tcPr>
          <w:p w14:paraId="7862E5A9">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2分，发现1处不符合扣0.1分</w:t>
            </w:r>
          </w:p>
        </w:tc>
      </w:tr>
      <w:tr w14:paraId="2D07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0AB1FDD4">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w:t>
            </w:r>
          </w:p>
        </w:tc>
        <w:tc>
          <w:tcPr>
            <w:tcW w:w="5896" w:type="dxa"/>
            <w:vAlign w:val="center"/>
          </w:tcPr>
          <w:p w14:paraId="047A2FC5">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住宅区道路、广场、停车场、绿地等每日清扫1次；电梯厅、楼道每日清扫1次，半月拖洗1次；楼梯扶手每周擦洗3次；共用部位玻璃每月清洁2次；路灯、楼道灯每季度清洁1次。及时清除区内主要道路积水、积雪。</w:t>
            </w:r>
          </w:p>
        </w:tc>
        <w:tc>
          <w:tcPr>
            <w:tcW w:w="2756" w:type="dxa"/>
            <w:vAlign w:val="center"/>
          </w:tcPr>
          <w:p w14:paraId="444841FB">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3分，发现1处不符合扣0.1分</w:t>
            </w:r>
          </w:p>
        </w:tc>
      </w:tr>
      <w:tr w14:paraId="3D3D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1ACB7EDF">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w:t>
            </w:r>
          </w:p>
        </w:tc>
        <w:tc>
          <w:tcPr>
            <w:tcW w:w="5896" w:type="dxa"/>
            <w:vAlign w:val="center"/>
          </w:tcPr>
          <w:p w14:paraId="58E52808">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区内公共雨、污水管道每年疏通1次；雨、污水井每季度检查1次，并视检查情况及时清掏；化粪池每2个月检查1次，每年清掏1次，发现异常及时清掏。</w:t>
            </w:r>
          </w:p>
        </w:tc>
        <w:tc>
          <w:tcPr>
            <w:tcW w:w="2756" w:type="dxa"/>
            <w:vAlign w:val="center"/>
          </w:tcPr>
          <w:p w14:paraId="53B10C46">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2分，发现1处不符合扣0.1分</w:t>
            </w:r>
          </w:p>
        </w:tc>
      </w:tr>
      <w:tr w14:paraId="7818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5DED25B5">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4</w:t>
            </w:r>
          </w:p>
        </w:tc>
        <w:tc>
          <w:tcPr>
            <w:tcW w:w="5896" w:type="dxa"/>
            <w:vAlign w:val="center"/>
          </w:tcPr>
          <w:p w14:paraId="460BEA90">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二次供水按规定清洗。</w:t>
            </w:r>
          </w:p>
        </w:tc>
        <w:tc>
          <w:tcPr>
            <w:tcW w:w="2756" w:type="dxa"/>
            <w:vAlign w:val="center"/>
          </w:tcPr>
          <w:p w14:paraId="706D3C0C">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2分，发现1处不符合扣0.1分</w:t>
            </w:r>
          </w:p>
        </w:tc>
      </w:tr>
      <w:tr w14:paraId="6278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77EB3DE">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5</w:t>
            </w:r>
          </w:p>
        </w:tc>
        <w:tc>
          <w:tcPr>
            <w:tcW w:w="5896" w:type="dxa"/>
            <w:vAlign w:val="center"/>
          </w:tcPr>
          <w:p w14:paraId="26CF1ADB">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根据住宅区实际情况进行消毒和灭虫除害。</w:t>
            </w:r>
          </w:p>
        </w:tc>
        <w:tc>
          <w:tcPr>
            <w:tcW w:w="2756" w:type="dxa"/>
            <w:vAlign w:val="center"/>
          </w:tcPr>
          <w:p w14:paraId="7A4A39B8">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1分，发现1处不符合扣0.1分</w:t>
            </w:r>
          </w:p>
        </w:tc>
      </w:tr>
      <w:tr w14:paraId="0234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9287" w:type="dxa"/>
            <w:gridSpan w:val="3"/>
            <w:vAlign w:val="center"/>
          </w:tcPr>
          <w:p w14:paraId="3DFE182D">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b/>
                <w:bCs/>
                <w:color w:val="auto"/>
                <w:kern w:val="0"/>
                <w:sz w:val="24"/>
                <w:szCs w:val="24"/>
                <w:lang w:val="en-US" w:eastAsia="zh-CN" w:bidi="ar"/>
              </w:rPr>
              <w:t>（六）绿化养护管理（11分）</w:t>
            </w:r>
          </w:p>
        </w:tc>
      </w:tr>
      <w:tr w14:paraId="70A4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4181212">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1</w:t>
            </w:r>
          </w:p>
        </w:tc>
        <w:tc>
          <w:tcPr>
            <w:tcW w:w="5896" w:type="dxa"/>
            <w:vAlign w:val="center"/>
          </w:tcPr>
          <w:p w14:paraId="6A068CB4">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有专业人员实施绿化养护管理。</w:t>
            </w:r>
          </w:p>
        </w:tc>
        <w:tc>
          <w:tcPr>
            <w:tcW w:w="2756" w:type="dxa"/>
            <w:vAlign w:val="center"/>
          </w:tcPr>
          <w:p w14:paraId="1CFD72E4">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2分，发现1处不符合扣1分</w:t>
            </w:r>
          </w:p>
        </w:tc>
      </w:tr>
      <w:tr w14:paraId="7059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32E1609A">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2</w:t>
            </w:r>
          </w:p>
        </w:tc>
        <w:tc>
          <w:tcPr>
            <w:tcW w:w="5896" w:type="dxa"/>
            <w:vAlign w:val="center"/>
          </w:tcPr>
          <w:p w14:paraId="188C7B8B">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对草坪、花卉、绿篱、树木定期进行修剪、养护。</w:t>
            </w:r>
          </w:p>
        </w:tc>
        <w:tc>
          <w:tcPr>
            <w:tcW w:w="2756" w:type="dxa"/>
            <w:vAlign w:val="center"/>
          </w:tcPr>
          <w:p w14:paraId="5AE87045">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3分，发现1处不符合扣0.1分</w:t>
            </w:r>
          </w:p>
        </w:tc>
      </w:tr>
      <w:tr w14:paraId="67E4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2E52F8FA">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3</w:t>
            </w:r>
          </w:p>
        </w:tc>
        <w:tc>
          <w:tcPr>
            <w:tcW w:w="5896" w:type="dxa"/>
            <w:vAlign w:val="center"/>
          </w:tcPr>
          <w:p w14:paraId="517919B3">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定期清除绿地杂草、杂物。</w:t>
            </w:r>
          </w:p>
        </w:tc>
        <w:tc>
          <w:tcPr>
            <w:tcW w:w="2756" w:type="dxa"/>
            <w:vAlign w:val="center"/>
          </w:tcPr>
          <w:p w14:paraId="5AC6AC19">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2分，发现1处不符合扣0.2分</w:t>
            </w:r>
          </w:p>
        </w:tc>
      </w:tr>
      <w:tr w14:paraId="73D5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45D8FD40">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4</w:t>
            </w:r>
          </w:p>
        </w:tc>
        <w:tc>
          <w:tcPr>
            <w:tcW w:w="5896" w:type="dxa"/>
            <w:vAlign w:val="center"/>
          </w:tcPr>
          <w:p w14:paraId="06856E30">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适时组织浇灌、施肥和松土，做好防涝、防冻。</w:t>
            </w:r>
          </w:p>
        </w:tc>
        <w:tc>
          <w:tcPr>
            <w:tcW w:w="2756" w:type="dxa"/>
            <w:vAlign w:val="center"/>
          </w:tcPr>
          <w:p w14:paraId="4CDCED14">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2分，发现1处不符合扣0.1分</w:t>
            </w:r>
          </w:p>
        </w:tc>
      </w:tr>
      <w:tr w14:paraId="7142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635" w:type="dxa"/>
            <w:vAlign w:val="center"/>
          </w:tcPr>
          <w:p w14:paraId="5763E6D9">
            <w:pPr>
              <w:pStyle w:val="5"/>
              <w:pageBreakBefore w:val="0"/>
              <w:numPr>
                <w:ilvl w:val="0"/>
                <w:numId w:val="0"/>
              </w:numPr>
              <w:kinsoku/>
              <w:overflowPunct/>
              <w:topLinePunct w:val="0"/>
              <w:bidi w:val="0"/>
              <w:spacing w:after="0" w:line="360" w:lineRule="auto"/>
              <w:ind w:right="0" w:rightChars="0"/>
              <w:jc w:val="center"/>
              <w:textAlignment w:val="auto"/>
              <w:rPr>
                <w:rFonts w:hint="default"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vertAlign w:val="baseline"/>
                <w:lang w:val="en-US" w:eastAsia="zh-CN" w:bidi="ar"/>
              </w:rPr>
              <w:t>5</w:t>
            </w:r>
          </w:p>
        </w:tc>
        <w:tc>
          <w:tcPr>
            <w:tcW w:w="5896" w:type="dxa"/>
            <w:vAlign w:val="center"/>
          </w:tcPr>
          <w:p w14:paraId="7207E1FF">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适时喷洒药物，预防病虫害。</w:t>
            </w:r>
          </w:p>
        </w:tc>
        <w:tc>
          <w:tcPr>
            <w:tcW w:w="2756" w:type="dxa"/>
            <w:vAlign w:val="center"/>
          </w:tcPr>
          <w:p w14:paraId="38A3565E">
            <w:pPr>
              <w:pStyle w:val="5"/>
              <w:pageBreakBefore w:val="0"/>
              <w:numPr>
                <w:ilvl w:val="0"/>
                <w:numId w:val="0"/>
              </w:numPr>
              <w:kinsoku/>
              <w:overflowPunct/>
              <w:topLinePunct w:val="0"/>
              <w:bidi w:val="0"/>
              <w:spacing w:after="0" w:line="360" w:lineRule="auto"/>
              <w:ind w:right="0" w:rightChars="0"/>
              <w:jc w:val="center"/>
              <w:textAlignment w:val="auto"/>
              <w:rPr>
                <w:rFonts w:hint="eastAsia" w:ascii="宋体" w:hAnsi="宋体" w:eastAsia="宋体" w:cs="宋体"/>
                <w:color w:val="auto"/>
                <w:kern w:val="0"/>
                <w:sz w:val="24"/>
                <w:szCs w:val="24"/>
                <w:vertAlign w:val="baseline"/>
                <w:lang w:val="en-US" w:eastAsia="zh-CN" w:bidi="ar"/>
              </w:rPr>
            </w:pPr>
            <w:r>
              <w:rPr>
                <w:rFonts w:hint="eastAsia" w:ascii="宋体" w:hAnsi="宋体" w:eastAsia="宋体" w:cs="宋体"/>
                <w:color w:val="auto"/>
                <w:kern w:val="0"/>
                <w:sz w:val="24"/>
                <w:szCs w:val="24"/>
                <w:lang w:val="en-US" w:eastAsia="zh-CN" w:bidi="ar"/>
              </w:rPr>
              <w:t>2分，发现1处不符合扣0.1分</w:t>
            </w:r>
          </w:p>
        </w:tc>
      </w:tr>
    </w:tbl>
    <w:p w14:paraId="0FC331E8">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textAlignment w:val="auto"/>
        <w:rPr>
          <w:rFonts w:hint="eastAsia" w:ascii="宋体" w:hAnsi="宋体" w:eastAsia="宋体" w:cs="宋体"/>
          <w:color w:val="7030A0"/>
          <w:sz w:val="24"/>
          <w:szCs w:val="24"/>
          <w:highlight w:val="none"/>
          <w:lang w:val="en-US" w:eastAsia="zh-CN"/>
        </w:rPr>
      </w:pPr>
    </w:p>
    <w:p w14:paraId="4F487B8B">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2.月报、季报、年度总结服务：制定小区服务计划，每月向业委会及小区业主反馈完成情况、存在问题，以及下一个阶段的重难点提出针对性方案。每日的日常服务通过微信群、公众号、公告栏等图文并茂公示。</w:t>
      </w:r>
    </w:p>
    <w:p w14:paraId="0A7FD76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★3.投标人不得随意更改现场项目总经理及响应配置人员，同时中标（成交）后项目总经理及其关键岗位配置人员需在7日内做好与其他项目的切割，专职服务港利上城国际小区。投标人</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私自</w:t>
      </w:r>
      <w:r>
        <w:rPr>
          <w:rFonts w:hint="eastAsia" w:ascii="宋体" w:hAnsi="宋体" w:eastAsia="宋体" w:cs="宋体"/>
          <w:color w:val="000000" w:themeColor="text1"/>
          <w:sz w:val="24"/>
          <w:szCs w:val="24"/>
          <w:highlight w:val="none"/>
          <w:lang w:val="en-US" w:eastAsia="zh-CN"/>
          <w14:textFill>
            <w14:solidFill>
              <w14:schemeClr w14:val="tx1"/>
            </w14:solidFill>
          </w14:textFill>
        </w:rPr>
        <w:t>变更关键岗位人员的（住建主管部门相关文件对5种情况可变更的除外）</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扣履约保证金</w:t>
      </w:r>
      <w:r>
        <w:rPr>
          <w:rFonts w:hint="eastAsia" w:ascii="宋体" w:hAnsi="宋体" w:eastAsia="宋体" w:cs="宋体"/>
          <w:color w:val="000000" w:themeColor="text1"/>
          <w:sz w:val="24"/>
          <w:szCs w:val="24"/>
          <w:highlight w:val="none"/>
          <w:lang w:val="en-US" w:eastAsia="zh-CN"/>
          <w14:textFill>
            <w14:solidFill>
              <w14:schemeClr w14:val="tx1"/>
            </w14:solidFill>
          </w14:textFill>
        </w:rPr>
        <w:t>，变更物业项目总经理</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扣</w:t>
      </w:r>
      <w:r>
        <w:rPr>
          <w:rFonts w:hint="eastAsia" w:ascii="宋体" w:hAnsi="宋体" w:eastAsia="宋体" w:cs="宋体"/>
          <w:color w:val="000000" w:themeColor="text1"/>
          <w:sz w:val="24"/>
          <w:szCs w:val="24"/>
          <w:highlight w:val="none"/>
          <w:lang w:val="en-US" w:eastAsia="zh-CN"/>
          <w14:textFill>
            <w14:solidFill>
              <w14:schemeClr w14:val="tx1"/>
            </w14:solidFill>
          </w14:textFill>
        </w:rPr>
        <w:t>5000元，变更执行经理（项目副经理或等同岗位）扣5000元，变更其他工作人员扣2000元/人，此费用在履约保证金中扣除，投标人确需变更关键岗位人员需经业委会同意并考核，新任人员考核合格后，方可更换人员。</w:t>
      </w:r>
    </w:p>
    <w:p w14:paraId="4C71521F">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left="0" w:leftChars="0" w:right="0" w:rightChars="0" w:firstLine="480" w:firstLineChars="200"/>
        <w:textAlignment w:val="auto"/>
        <w:rPr>
          <w:rFonts w:hint="eastAsia"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4.考核制度</w:t>
      </w:r>
    </w:p>
    <w:tbl>
      <w:tblPr>
        <w:tblStyle w:val="15"/>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678"/>
        <w:gridCol w:w="4500"/>
        <w:gridCol w:w="1391"/>
        <w:gridCol w:w="2370"/>
      </w:tblGrid>
      <w:tr w14:paraId="05FD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16" w:hRule="atLeast"/>
          <w:jc w:val="center"/>
        </w:trPr>
        <w:tc>
          <w:tcPr>
            <w:tcW w:w="8939" w:type="dxa"/>
            <w:gridSpan w:val="4"/>
            <w:shd w:val="clear" w:color="auto" w:fill="FFFFFF"/>
            <w:noWrap w:val="0"/>
            <w:tcMar>
              <w:left w:w="108" w:type="dxa"/>
              <w:right w:w="108" w:type="dxa"/>
            </w:tcMar>
            <w:vAlign w:val="center"/>
          </w:tcPr>
          <w:p w14:paraId="3FE1F851">
            <w:pPr>
              <w:pStyle w:val="12"/>
              <w:wordWrap w:val="0"/>
              <w:spacing w:before="0" w:beforeAutospacing="0" w:after="0" w:afterAutospacing="0"/>
              <w:jc w:val="center"/>
              <w:rPr>
                <w:rFonts w:hint="eastAsia" w:ascii="宋体" w:hAnsi="宋体" w:eastAsia="宋体" w:cs="宋体"/>
                <w:b/>
                <w:bCs/>
                <w:color w:val="000000" w:themeColor="text1"/>
                <w:sz w:val="28"/>
                <w:szCs w:val="28"/>
                <w:lang w:val="zh-CN"/>
                <w14:textFill>
                  <w14:solidFill>
                    <w14:schemeClr w14:val="tx1"/>
                  </w14:solidFill>
                </w14:textFill>
              </w:rPr>
            </w:pPr>
            <w:r>
              <w:rPr>
                <w:rFonts w:hint="eastAsia" w:ascii="宋体" w:hAnsi="宋体" w:eastAsia="宋体" w:cs="宋体"/>
                <w:b/>
                <w:bCs/>
                <w:color w:val="000000" w:themeColor="text1"/>
                <w:sz w:val="28"/>
                <w:szCs w:val="28"/>
                <w:lang w:val="zh-CN"/>
                <w14:textFill>
                  <w14:solidFill>
                    <w14:schemeClr w14:val="tx1"/>
                  </w14:solidFill>
                </w14:textFill>
              </w:rPr>
              <w:t>港利上城国际小区物业服务</w:t>
            </w:r>
            <w:r>
              <w:rPr>
                <w:rFonts w:hint="eastAsia" w:ascii="宋体" w:hAnsi="宋体" w:eastAsia="宋体" w:cs="宋体"/>
                <w:b/>
                <w:bCs/>
                <w:color w:val="000000" w:themeColor="text1"/>
                <w:sz w:val="28"/>
                <w:szCs w:val="28"/>
                <w:lang w:val="en-US" w:eastAsia="zh-CN"/>
                <w14:textFill>
                  <w14:solidFill>
                    <w14:schemeClr w14:val="tx1"/>
                  </w14:solidFill>
                </w14:textFill>
              </w:rPr>
              <w:t>采购</w:t>
            </w:r>
            <w:r>
              <w:rPr>
                <w:rFonts w:hint="eastAsia" w:ascii="宋体" w:hAnsi="宋体" w:eastAsia="宋体" w:cs="宋体"/>
                <w:b/>
                <w:bCs/>
                <w:color w:val="000000" w:themeColor="text1"/>
                <w:sz w:val="28"/>
                <w:szCs w:val="28"/>
                <w:lang w:val="zh-CN"/>
                <w14:textFill>
                  <w14:solidFill>
                    <w14:schemeClr w14:val="tx1"/>
                  </w14:solidFill>
                </w14:textFill>
              </w:rPr>
              <w:t>项目</w:t>
            </w:r>
            <w:r>
              <w:rPr>
                <w:rFonts w:hint="eastAsia" w:ascii="宋体" w:hAnsi="宋体" w:eastAsia="宋体" w:cs="宋体"/>
                <w:b/>
                <w:bCs/>
                <w:color w:val="000000" w:themeColor="text1"/>
                <w:sz w:val="28"/>
                <w:szCs w:val="28"/>
                <w:lang w:val="en-US" w:eastAsia="zh-CN"/>
                <w14:textFill>
                  <w14:solidFill>
                    <w14:schemeClr w14:val="tx1"/>
                  </w14:solidFill>
                </w14:textFill>
              </w:rPr>
              <w:t>扣除违约金</w:t>
            </w:r>
            <w:r>
              <w:rPr>
                <w:rFonts w:hint="eastAsia" w:ascii="宋体" w:hAnsi="宋体" w:eastAsia="宋体" w:cs="宋体"/>
                <w:b/>
                <w:bCs/>
                <w:color w:val="000000" w:themeColor="text1"/>
                <w:sz w:val="28"/>
                <w:szCs w:val="28"/>
                <w:lang w:val="zh-CN"/>
                <w14:textFill>
                  <w14:solidFill>
                    <w14:schemeClr w14:val="tx1"/>
                  </w14:solidFill>
                </w14:textFill>
              </w:rPr>
              <w:t>细则</w:t>
            </w:r>
          </w:p>
          <w:p w14:paraId="5F1D3424">
            <w:pPr>
              <w:pStyle w:val="12"/>
              <w:wordWrap w:val="0"/>
              <w:spacing w:before="0" w:beforeAutospacing="0" w:after="0" w:afterAutospacing="0"/>
              <w:jc w:val="center"/>
              <w:rPr>
                <w:rFonts w:hint="eastAsia" w:ascii="宋体" w:hAnsi="宋体" w:eastAsia="宋体" w:cs="宋体"/>
                <w:b/>
                <w:bCs/>
                <w:color w:val="000000" w:themeColor="text1"/>
                <w:sz w:val="28"/>
                <w:szCs w:val="28"/>
                <w:lang w:val="zh-CN"/>
                <w14:textFill>
                  <w14:solidFill>
                    <w14:schemeClr w14:val="tx1"/>
                  </w14:solidFill>
                </w14:textFill>
              </w:rPr>
            </w:pPr>
            <w:r>
              <w:rPr>
                <w:rFonts w:hint="eastAsia" w:ascii="宋体" w:hAnsi="宋体" w:eastAsia="宋体" w:cs="宋体"/>
                <w:b/>
                <w:bCs/>
                <w:color w:val="000000" w:themeColor="text1"/>
                <w:sz w:val="28"/>
                <w:szCs w:val="28"/>
                <w:lang w:val="zh-CN"/>
                <w14:textFill>
                  <w14:solidFill>
                    <w14:schemeClr w14:val="tx1"/>
                  </w14:solidFill>
                </w14:textFill>
              </w:rPr>
              <w:t>（</w:t>
            </w:r>
            <w:r>
              <w:rPr>
                <w:rFonts w:hint="eastAsia" w:ascii="宋体" w:hAnsi="宋体" w:eastAsia="宋体" w:cs="宋体"/>
                <w:b/>
                <w:bCs/>
                <w:color w:val="000000" w:themeColor="text1"/>
                <w:sz w:val="28"/>
                <w:szCs w:val="28"/>
                <w:lang w:val="en-US" w:eastAsia="zh-CN"/>
                <w14:textFill>
                  <w14:solidFill>
                    <w14:schemeClr w14:val="tx1"/>
                  </w14:solidFill>
                </w14:textFill>
              </w:rPr>
              <w:t>违约金自中标人的履约保证金里扣除</w:t>
            </w:r>
            <w:r>
              <w:rPr>
                <w:rFonts w:hint="eastAsia" w:ascii="宋体" w:hAnsi="宋体" w:eastAsia="宋体" w:cs="宋体"/>
                <w:b/>
                <w:bCs/>
                <w:color w:val="000000" w:themeColor="text1"/>
                <w:sz w:val="28"/>
                <w:szCs w:val="28"/>
                <w:lang w:val="zh-CN"/>
                <w14:textFill>
                  <w14:solidFill>
                    <w14:schemeClr w14:val="tx1"/>
                  </w14:solidFill>
                </w14:textFill>
              </w:rPr>
              <w:t>）</w:t>
            </w:r>
          </w:p>
          <w:p w14:paraId="27A551BF">
            <w:pPr>
              <w:pStyle w:val="12"/>
              <w:wordWrap w:val="0"/>
              <w:spacing w:before="0" w:beforeAutospacing="0" w:after="0" w:afterAutospacing="0"/>
              <w:jc w:val="center"/>
              <w:rPr>
                <w:rFonts w:hint="eastAsia" w:ascii="宋体" w:hAnsi="宋体" w:eastAsia="宋体" w:cs="宋体"/>
                <w:color w:val="000000" w:themeColor="text1"/>
                <w:sz w:val="24"/>
                <w:szCs w:val="24"/>
                <w:lang w:val="en-US" w:eastAsia="zh-CN"/>
                <w14:textFill>
                  <w14:solidFill>
                    <w14:schemeClr w14:val="tx1"/>
                  </w14:solidFill>
                </w14:textFill>
              </w:rPr>
            </w:pPr>
          </w:p>
        </w:tc>
      </w:tr>
      <w:tr w14:paraId="6789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6061B8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编号</w:t>
            </w:r>
          </w:p>
        </w:tc>
        <w:tc>
          <w:tcPr>
            <w:tcW w:w="4500" w:type="dxa"/>
            <w:shd w:val="clear" w:color="auto" w:fill="FFFFFF"/>
            <w:noWrap w:val="0"/>
            <w:tcMar>
              <w:left w:w="108" w:type="dxa"/>
              <w:right w:w="108" w:type="dxa"/>
            </w:tcMar>
            <w:vAlign w:val="center"/>
          </w:tcPr>
          <w:p w14:paraId="3365FD1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违约细则</w:t>
            </w:r>
          </w:p>
        </w:tc>
        <w:tc>
          <w:tcPr>
            <w:tcW w:w="1391" w:type="dxa"/>
            <w:shd w:val="clear" w:color="auto" w:fill="FFFFFF"/>
            <w:noWrap w:val="0"/>
            <w:tcMar>
              <w:left w:w="108" w:type="dxa"/>
              <w:right w:w="108" w:type="dxa"/>
            </w:tcMar>
            <w:vAlign w:val="center"/>
          </w:tcPr>
          <w:p w14:paraId="71F3136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首次扣除标准（元）</w:t>
            </w:r>
          </w:p>
        </w:tc>
        <w:tc>
          <w:tcPr>
            <w:tcW w:w="2370" w:type="dxa"/>
            <w:shd w:val="clear" w:color="auto" w:fill="FFFFFF"/>
            <w:noWrap w:val="0"/>
            <w:tcMar>
              <w:left w:w="108" w:type="dxa"/>
              <w:right w:w="108" w:type="dxa"/>
            </w:tcMar>
            <w:vAlign w:val="center"/>
          </w:tcPr>
          <w:p w14:paraId="4298BB8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备注</w:t>
            </w:r>
          </w:p>
        </w:tc>
      </w:tr>
      <w:tr w14:paraId="31E9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8" w:type="dxa"/>
            <w:shd w:val="clear" w:color="auto" w:fill="FFFFFF"/>
            <w:noWrap w:val="0"/>
            <w:tcMar>
              <w:left w:w="108" w:type="dxa"/>
              <w:right w:w="108" w:type="dxa"/>
            </w:tcMar>
            <w:vAlign w:val="center"/>
          </w:tcPr>
          <w:p w14:paraId="13B6295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4500" w:type="dxa"/>
            <w:shd w:val="clear" w:color="auto" w:fill="FFFFFF"/>
            <w:noWrap w:val="0"/>
            <w:tcMar>
              <w:left w:w="108" w:type="dxa"/>
              <w:right w:w="108" w:type="dxa"/>
            </w:tcMar>
            <w:vAlign w:val="center"/>
          </w:tcPr>
          <w:p w14:paraId="57F153E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人员缺编、缺岗、睡岗、脱岗</w:t>
            </w:r>
          </w:p>
        </w:tc>
        <w:tc>
          <w:tcPr>
            <w:tcW w:w="1391" w:type="dxa"/>
            <w:shd w:val="clear" w:color="auto" w:fill="FFFFFF"/>
            <w:noWrap w:val="0"/>
            <w:tcMar>
              <w:left w:w="108" w:type="dxa"/>
              <w:right w:w="108" w:type="dxa"/>
            </w:tcMar>
            <w:vAlign w:val="center"/>
          </w:tcPr>
          <w:p w14:paraId="5B7D438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200/人/次</w:t>
            </w:r>
          </w:p>
        </w:tc>
        <w:tc>
          <w:tcPr>
            <w:tcW w:w="2370" w:type="dxa"/>
            <w:shd w:val="clear" w:color="auto" w:fill="FFFFFF"/>
            <w:noWrap w:val="0"/>
            <w:tcMar>
              <w:left w:w="108" w:type="dxa"/>
              <w:right w:w="108" w:type="dxa"/>
            </w:tcMar>
            <w:vAlign w:val="center"/>
          </w:tcPr>
          <w:p w14:paraId="7408180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首次以后处以2倍以上5倍以下扣款</w:t>
            </w:r>
          </w:p>
        </w:tc>
      </w:tr>
      <w:tr w14:paraId="242D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8794F0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4500" w:type="dxa"/>
            <w:shd w:val="clear" w:color="auto" w:fill="FFFFFF"/>
            <w:noWrap w:val="0"/>
            <w:tcMar>
              <w:left w:w="108" w:type="dxa"/>
              <w:right w:w="108" w:type="dxa"/>
            </w:tcMar>
            <w:vAlign w:val="center"/>
          </w:tcPr>
          <w:p w14:paraId="2A4A230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服务窗口不公开办事制度、办事纪律、收费项目和标准</w:t>
            </w:r>
          </w:p>
        </w:tc>
        <w:tc>
          <w:tcPr>
            <w:tcW w:w="1391" w:type="dxa"/>
            <w:shd w:val="clear" w:color="auto" w:fill="FFFFFF"/>
            <w:noWrap w:val="0"/>
            <w:tcMar>
              <w:left w:w="108" w:type="dxa"/>
              <w:right w:w="108" w:type="dxa"/>
            </w:tcMar>
            <w:vAlign w:val="center"/>
          </w:tcPr>
          <w:p w14:paraId="6B95BC0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14A73B3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D03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678" w:type="dxa"/>
            <w:shd w:val="clear" w:color="auto" w:fill="FFFFFF"/>
            <w:noWrap w:val="0"/>
            <w:tcMar>
              <w:left w:w="108" w:type="dxa"/>
              <w:right w:w="108" w:type="dxa"/>
            </w:tcMar>
            <w:vAlign w:val="center"/>
          </w:tcPr>
          <w:p w14:paraId="30066D1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4500" w:type="dxa"/>
            <w:shd w:val="clear" w:color="auto" w:fill="FFFFFF"/>
            <w:noWrap w:val="0"/>
            <w:tcMar>
              <w:left w:w="108" w:type="dxa"/>
              <w:right w:w="108" w:type="dxa"/>
            </w:tcMar>
            <w:vAlign w:val="center"/>
          </w:tcPr>
          <w:p w14:paraId="1FFA37F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未履行承诺函内容，且在业委会规定的期限内依然未有履约行动的</w:t>
            </w:r>
          </w:p>
        </w:tc>
        <w:tc>
          <w:tcPr>
            <w:tcW w:w="1391" w:type="dxa"/>
            <w:shd w:val="clear" w:color="auto" w:fill="FFFFFF"/>
            <w:noWrap w:val="0"/>
            <w:tcMar>
              <w:left w:w="108" w:type="dxa"/>
              <w:right w:w="108" w:type="dxa"/>
            </w:tcMar>
            <w:vAlign w:val="center"/>
          </w:tcPr>
          <w:p w14:paraId="75837E6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500/次</w:t>
            </w:r>
          </w:p>
        </w:tc>
        <w:tc>
          <w:tcPr>
            <w:tcW w:w="2370" w:type="dxa"/>
            <w:shd w:val="clear" w:color="auto" w:fill="FFFFFF"/>
            <w:noWrap w:val="0"/>
            <w:tcMar>
              <w:left w:w="108" w:type="dxa"/>
              <w:right w:w="108" w:type="dxa"/>
            </w:tcMar>
            <w:vAlign w:val="center"/>
          </w:tcPr>
          <w:p w14:paraId="1830F5D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拒不整改的属于中标人违约，合同解除</w:t>
            </w:r>
          </w:p>
        </w:tc>
      </w:tr>
      <w:tr w14:paraId="610F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085" w:hRule="atLeast"/>
          <w:jc w:val="center"/>
        </w:trPr>
        <w:tc>
          <w:tcPr>
            <w:tcW w:w="678" w:type="dxa"/>
            <w:shd w:val="clear" w:color="auto" w:fill="FFFFFF"/>
            <w:noWrap w:val="0"/>
            <w:tcMar>
              <w:left w:w="108" w:type="dxa"/>
              <w:right w:w="108" w:type="dxa"/>
            </w:tcMar>
            <w:vAlign w:val="center"/>
          </w:tcPr>
          <w:p w14:paraId="4E90590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4500" w:type="dxa"/>
            <w:shd w:val="clear" w:color="auto" w:fill="FFFFFF"/>
            <w:noWrap w:val="0"/>
            <w:tcMar>
              <w:left w:w="108" w:type="dxa"/>
              <w:right w:w="108" w:type="dxa"/>
            </w:tcMar>
            <w:vAlign w:val="center"/>
          </w:tcPr>
          <w:p w14:paraId="0474A20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未履行本次采购中无需提供承诺函的★条款的</w:t>
            </w:r>
          </w:p>
        </w:tc>
        <w:tc>
          <w:tcPr>
            <w:tcW w:w="1391" w:type="dxa"/>
            <w:shd w:val="clear" w:color="auto" w:fill="FFFFFF"/>
            <w:noWrap w:val="0"/>
            <w:tcMar>
              <w:left w:w="108" w:type="dxa"/>
              <w:right w:w="108" w:type="dxa"/>
            </w:tcMar>
            <w:vAlign w:val="center"/>
          </w:tcPr>
          <w:p w14:paraId="50BE81D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71F1C8F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拒不整改的属于中标人违约，合同解除</w:t>
            </w:r>
          </w:p>
        </w:tc>
      </w:tr>
      <w:tr w14:paraId="645A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E70909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4500" w:type="dxa"/>
            <w:shd w:val="clear" w:color="auto" w:fill="FFFFFF"/>
            <w:noWrap w:val="0"/>
            <w:tcMar>
              <w:left w:w="108" w:type="dxa"/>
              <w:right w:w="108" w:type="dxa"/>
            </w:tcMar>
            <w:vAlign w:val="center"/>
          </w:tcPr>
          <w:p w14:paraId="3AB7F1B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未履行本次采购中无需提供承诺函的普通条款的</w:t>
            </w:r>
          </w:p>
        </w:tc>
        <w:tc>
          <w:tcPr>
            <w:tcW w:w="1391" w:type="dxa"/>
            <w:shd w:val="clear" w:color="auto" w:fill="FFFFFF"/>
            <w:noWrap w:val="0"/>
            <w:tcMar>
              <w:left w:w="108" w:type="dxa"/>
              <w:right w:w="108" w:type="dxa"/>
            </w:tcMar>
            <w:vAlign w:val="center"/>
          </w:tcPr>
          <w:p w14:paraId="424041B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100/次</w:t>
            </w:r>
          </w:p>
        </w:tc>
        <w:tc>
          <w:tcPr>
            <w:tcW w:w="2370" w:type="dxa"/>
            <w:shd w:val="clear" w:color="auto" w:fill="FFFFFF"/>
            <w:noWrap w:val="0"/>
            <w:tcMar>
              <w:left w:w="108" w:type="dxa"/>
              <w:right w:w="108" w:type="dxa"/>
            </w:tcMar>
            <w:vAlign w:val="center"/>
          </w:tcPr>
          <w:p w14:paraId="6D97C8B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限期改正，重复违反时，每次均扣钱并扣分</w:t>
            </w:r>
          </w:p>
        </w:tc>
      </w:tr>
      <w:tr w14:paraId="41F7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C5DCCA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4500" w:type="dxa"/>
            <w:shd w:val="clear" w:color="auto" w:fill="FFFFFF"/>
            <w:noWrap w:val="0"/>
            <w:tcMar>
              <w:left w:w="108" w:type="dxa"/>
              <w:right w:w="108" w:type="dxa"/>
            </w:tcMar>
            <w:vAlign w:val="center"/>
          </w:tcPr>
          <w:p w14:paraId="1EAAD7B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值班电话没有24小时值班</w:t>
            </w:r>
          </w:p>
        </w:tc>
        <w:tc>
          <w:tcPr>
            <w:tcW w:w="1391" w:type="dxa"/>
            <w:shd w:val="clear" w:color="auto" w:fill="FFFFFF"/>
            <w:noWrap w:val="0"/>
            <w:tcMar>
              <w:left w:w="108" w:type="dxa"/>
              <w:right w:w="108" w:type="dxa"/>
            </w:tcMar>
            <w:vAlign w:val="center"/>
          </w:tcPr>
          <w:p w14:paraId="33A37EB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0761230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0C6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536729C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4500" w:type="dxa"/>
            <w:shd w:val="clear" w:color="auto" w:fill="FFFFFF"/>
            <w:noWrap w:val="0"/>
            <w:tcMar>
              <w:left w:w="108" w:type="dxa"/>
              <w:right w:w="108" w:type="dxa"/>
            </w:tcMar>
            <w:vAlign w:val="center"/>
          </w:tcPr>
          <w:p w14:paraId="16F80BB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急修半小时内没有赶到现场</w:t>
            </w:r>
          </w:p>
        </w:tc>
        <w:tc>
          <w:tcPr>
            <w:tcW w:w="1391" w:type="dxa"/>
            <w:shd w:val="clear" w:color="auto" w:fill="FFFFFF"/>
            <w:noWrap w:val="0"/>
            <w:tcMar>
              <w:left w:w="108" w:type="dxa"/>
              <w:right w:w="108" w:type="dxa"/>
            </w:tcMar>
            <w:vAlign w:val="center"/>
          </w:tcPr>
          <w:p w14:paraId="4F0ACEE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1899909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FEB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DC84B2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4500" w:type="dxa"/>
            <w:shd w:val="clear" w:color="auto" w:fill="FFFFFF"/>
            <w:noWrap w:val="0"/>
            <w:tcMar>
              <w:left w:w="108" w:type="dxa"/>
              <w:right w:w="108" w:type="dxa"/>
            </w:tcMar>
            <w:vAlign w:val="center"/>
          </w:tcPr>
          <w:p w14:paraId="79DC480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普通修理未在24小时内完成</w:t>
            </w:r>
          </w:p>
        </w:tc>
        <w:tc>
          <w:tcPr>
            <w:tcW w:w="1391" w:type="dxa"/>
            <w:shd w:val="clear" w:color="auto" w:fill="FFFFFF"/>
            <w:noWrap w:val="0"/>
            <w:tcMar>
              <w:left w:w="108" w:type="dxa"/>
              <w:right w:w="108" w:type="dxa"/>
            </w:tcMar>
            <w:vAlign w:val="center"/>
          </w:tcPr>
          <w:p w14:paraId="1DE4C0F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5ADAA36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ED1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62884C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p>
        </w:tc>
        <w:tc>
          <w:tcPr>
            <w:tcW w:w="4500" w:type="dxa"/>
            <w:shd w:val="clear" w:color="auto" w:fill="FFFFFF"/>
            <w:noWrap w:val="0"/>
            <w:tcMar>
              <w:left w:w="108" w:type="dxa"/>
              <w:right w:w="108" w:type="dxa"/>
            </w:tcMar>
            <w:vAlign w:val="center"/>
          </w:tcPr>
          <w:p w14:paraId="6AF58F0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对业主和使用人的投诉在3天内没有回复处理</w:t>
            </w:r>
          </w:p>
        </w:tc>
        <w:tc>
          <w:tcPr>
            <w:tcW w:w="1391" w:type="dxa"/>
            <w:shd w:val="clear" w:color="auto" w:fill="FFFFFF"/>
            <w:noWrap w:val="0"/>
            <w:tcMar>
              <w:left w:w="108" w:type="dxa"/>
              <w:right w:w="108" w:type="dxa"/>
            </w:tcMar>
            <w:vAlign w:val="center"/>
          </w:tcPr>
          <w:p w14:paraId="4520C4A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2EEAEF7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B9D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756A87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w:t>
            </w:r>
          </w:p>
        </w:tc>
        <w:tc>
          <w:tcPr>
            <w:tcW w:w="4500" w:type="dxa"/>
            <w:shd w:val="clear" w:color="auto" w:fill="FFFFFF"/>
            <w:noWrap w:val="0"/>
            <w:tcMar>
              <w:left w:w="108" w:type="dxa"/>
              <w:right w:w="108" w:type="dxa"/>
            </w:tcMar>
            <w:vAlign w:val="center"/>
          </w:tcPr>
          <w:p w14:paraId="4568DA8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丢失或损坏开发商已移交的业主管理档案</w:t>
            </w:r>
          </w:p>
        </w:tc>
        <w:tc>
          <w:tcPr>
            <w:tcW w:w="1391" w:type="dxa"/>
            <w:shd w:val="clear" w:color="auto" w:fill="FFFFFF"/>
            <w:noWrap w:val="0"/>
            <w:tcMar>
              <w:left w:w="108" w:type="dxa"/>
              <w:right w:w="108" w:type="dxa"/>
            </w:tcMar>
            <w:vAlign w:val="center"/>
          </w:tcPr>
          <w:p w14:paraId="2D6E543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100/份</w:t>
            </w:r>
          </w:p>
        </w:tc>
        <w:tc>
          <w:tcPr>
            <w:tcW w:w="2370" w:type="dxa"/>
            <w:shd w:val="clear" w:color="auto" w:fill="FFFFFF"/>
            <w:noWrap w:val="0"/>
            <w:tcMar>
              <w:left w:w="108" w:type="dxa"/>
              <w:right w:w="108" w:type="dxa"/>
            </w:tcMar>
            <w:vAlign w:val="center"/>
          </w:tcPr>
          <w:p w14:paraId="3954FE0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C54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800917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w:t>
            </w:r>
          </w:p>
        </w:tc>
        <w:tc>
          <w:tcPr>
            <w:tcW w:w="4500" w:type="dxa"/>
            <w:shd w:val="clear" w:color="auto" w:fill="FFFFFF"/>
            <w:noWrap w:val="0"/>
            <w:tcMar>
              <w:left w:w="108" w:type="dxa"/>
              <w:right w:w="108" w:type="dxa"/>
            </w:tcMar>
            <w:vAlign w:val="center"/>
          </w:tcPr>
          <w:p w14:paraId="6F80386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丢失或损坏开发商已移交的有关设备设施、技术档案、资料</w:t>
            </w:r>
          </w:p>
        </w:tc>
        <w:tc>
          <w:tcPr>
            <w:tcW w:w="1391" w:type="dxa"/>
            <w:shd w:val="clear" w:color="auto" w:fill="FFFFFF"/>
            <w:noWrap w:val="0"/>
            <w:tcMar>
              <w:left w:w="108" w:type="dxa"/>
              <w:right w:w="108" w:type="dxa"/>
            </w:tcMar>
            <w:vAlign w:val="center"/>
          </w:tcPr>
          <w:p w14:paraId="1B28DB8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1000/次</w:t>
            </w:r>
          </w:p>
        </w:tc>
        <w:tc>
          <w:tcPr>
            <w:tcW w:w="2370" w:type="dxa"/>
            <w:shd w:val="clear" w:color="auto" w:fill="FFFFFF"/>
            <w:noWrap w:val="0"/>
            <w:tcMar>
              <w:left w:w="108" w:type="dxa"/>
              <w:right w:w="108" w:type="dxa"/>
            </w:tcMar>
            <w:vAlign w:val="center"/>
          </w:tcPr>
          <w:p w14:paraId="1DFEB96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DFF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58EC6B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w:t>
            </w:r>
          </w:p>
        </w:tc>
        <w:tc>
          <w:tcPr>
            <w:tcW w:w="4500" w:type="dxa"/>
            <w:shd w:val="clear" w:color="auto" w:fill="FFFFFF"/>
            <w:noWrap w:val="0"/>
            <w:tcMar>
              <w:left w:w="108" w:type="dxa"/>
              <w:right w:w="108" w:type="dxa"/>
            </w:tcMar>
            <w:vAlign w:val="center"/>
          </w:tcPr>
          <w:p w14:paraId="52BEE53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客服人员没有做好业主来访、投诉记录</w:t>
            </w:r>
          </w:p>
        </w:tc>
        <w:tc>
          <w:tcPr>
            <w:tcW w:w="1391" w:type="dxa"/>
            <w:shd w:val="clear" w:color="auto" w:fill="FFFFFF"/>
            <w:noWrap w:val="0"/>
            <w:tcMar>
              <w:left w:w="108" w:type="dxa"/>
              <w:right w:w="108" w:type="dxa"/>
            </w:tcMar>
            <w:vAlign w:val="center"/>
          </w:tcPr>
          <w:p w14:paraId="48990BB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2AA29AA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03D2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3E5204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p>
        </w:tc>
        <w:tc>
          <w:tcPr>
            <w:tcW w:w="4500" w:type="dxa"/>
            <w:shd w:val="clear" w:color="auto" w:fill="FFFFFF"/>
            <w:noWrap w:val="0"/>
            <w:tcMar>
              <w:left w:w="108" w:type="dxa"/>
              <w:right w:w="108" w:type="dxa"/>
            </w:tcMar>
            <w:vAlign w:val="center"/>
          </w:tcPr>
          <w:p w14:paraId="2D0D081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物业人员辱骂、殴打业主等行为的</w:t>
            </w:r>
          </w:p>
        </w:tc>
        <w:tc>
          <w:tcPr>
            <w:tcW w:w="1391" w:type="dxa"/>
            <w:shd w:val="clear" w:color="auto" w:fill="FFFFFF"/>
            <w:noWrap w:val="0"/>
            <w:tcMar>
              <w:left w:w="108" w:type="dxa"/>
              <w:right w:w="108" w:type="dxa"/>
            </w:tcMar>
            <w:vAlign w:val="center"/>
          </w:tcPr>
          <w:p w14:paraId="7ECE688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500元/次</w:t>
            </w:r>
          </w:p>
        </w:tc>
        <w:tc>
          <w:tcPr>
            <w:tcW w:w="2370" w:type="dxa"/>
            <w:shd w:val="clear" w:color="auto" w:fill="FFFFFF"/>
            <w:noWrap w:val="0"/>
            <w:tcMar>
              <w:left w:w="108" w:type="dxa"/>
              <w:right w:w="108" w:type="dxa"/>
            </w:tcMar>
            <w:vAlign w:val="center"/>
          </w:tcPr>
          <w:p w14:paraId="4E57424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更换此岗位人员，也不允许涉事人员对调本小区区域范围内的其他岗位，拒绝整改属中标人违约，合同解除</w:t>
            </w:r>
          </w:p>
        </w:tc>
      </w:tr>
      <w:tr w14:paraId="1A4A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1EEDD8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14</w:t>
            </w:r>
          </w:p>
        </w:tc>
        <w:tc>
          <w:tcPr>
            <w:tcW w:w="4500" w:type="dxa"/>
            <w:shd w:val="clear" w:color="auto" w:fill="FFFFFF"/>
            <w:noWrap w:val="0"/>
            <w:tcMar>
              <w:left w:w="108" w:type="dxa"/>
              <w:right w:w="108" w:type="dxa"/>
            </w:tcMar>
            <w:vAlign w:val="center"/>
          </w:tcPr>
          <w:p w14:paraId="67ABB03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电梯未按每半月保养一次，则按每台每次进行扣除</w:t>
            </w:r>
          </w:p>
        </w:tc>
        <w:tc>
          <w:tcPr>
            <w:tcW w:w="1391" w:type="dxa"/>
            <w:shd w:val="clear" w:color="auto" w:fill="FFFFFF"/>
            <w:noWrap w:val="0"/>
            <w:tcMar>
              <w:left w:w="108" w:type="dxa"/>
              <w:right w:w="108" w:type="dxa"/>
            </w:tcMar>
            <w:vAlign w:val="center"/>
          </w:tcPr>
          <w:p w14:paraId="28DBF38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200/次/台</w:t>
            </w:r>
          </w:p>
        </w:tc>
        <w:tc>
          <w:tcPr>
            <w:tcW w:w="2370" w:type="dxa"/>
            <w:shd w:val="clear" w:color="auto" w:fill="FFFFFF"/>
            <w:noWrap w:val="0"/>
            <w:tcMar>
              <w:left w:w="108" w:type="dxa"/>
              <w:right w:w="108" w:type="dxa"/>
            </w:tcMar>
            <w:vAlign w:val="center"/>
          </w:tcPr>
          <w:p w14:paraId="196E48B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ED4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54A73C7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15</w:t>
            </w:r>
          </w:p>
        </w:tc>
        <w:tc>
          <w:tcPr>
            <w:tcW w:w="4500" w:type="dxa"/>
            <w:shd w:val="clear" w:color="auto" w:fill="FFFFFF"/>
            <w:noWrap w:val="0"/>
            <w:tcMar>
              <w:left w:w="108" w:type="dxa"/>
              <w:right w:w="108" w:type="dxa"/>
            </w:tcMar>
            <w:vAlign w:val="center"/>
          </w:tcPr>
          <w:p w14:paraId="29155C4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没有做到楼内垃圾桶每日清理1次，每周清洗、擦拭、消毒1次</w:t>
            </w:r>
          </w:p>
        </w:tc>
        <w:tc>
          <w:tcPr>
            <w:tcW w:w="1391" w:type="dxa"/>
            <w:shd w:val="clear" w:color="auto" w:fill="FFFFFF"/>
            <w:noWrap w:val="0"/>
            <w:tcMar>
              <w:left w:w="108" w:type="dxa"/>
              <w:right w:w="108" w:type="dxa"/>
            </w:tcMar>
            <w:vAlign w:val="center"/>
          </w:tcPr>
          <w:p w14:paraId="778311A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2A512E2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50C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0DE34E9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16</w:t>
            </w:r>
          </w:p>
        </w:tc>
        <w:tc>
          <w:tcPr>
            <w:tcW w:w="4500" w:type="dxa"/>
            <w:shd w:val="clear" w:color="auto" w:fill="FFFFFF"/>
            <w:noWrap w:val="0"/>
            <w:tcMar>
              <w:left w:w="108" w:type="dxa"/>
              <w:right w:w="108" w:type="dxa"/>
            </w:tcMar>
            <w:vAlign w:val="center"/>
          </w:tcPr>
          <w:p w14:paraId="3F0BC19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垃圾桶（箱）有满溢、有污迹的</w:t>
            </w:r>
          </w:p>
        </w:tc>
        <w:tc>
          <w:tcPr>
            <w:tcW w:w="1391" w:type="dxa"/>
            <w:shd w:val="clear" w:color="auto" w:fill="FFFFFF"/>
            <w:noWrap w:val="0"/>
            <w:tcMar>
              <w:left w:w="108" w:type="dxa"/>
              <w:right w:w="108" w:type="dxa"/>
            </w:tcMar>
            <w:vAlign w:val="center"/>
          </w:tcPr>
          <w:p w14:paraId="66362D0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2983D28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B63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F1B0A9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17</w:t>
            </w:r>
          </w:p>
        </w:tc>
        <w:tc>
          <w:tcPr>
            <w:tcW w:w="4500" w:type="dxa"/>
            <w:shd w:val="clear" w:color="auto" w:fill="FFFFFF"/>
            <w:noWrap w:val="0"/>
            <w:tcMar>
              <w:left w:w="108" w:type="dxa"/>
              <w:right w:w="108" w:type="dxa"/>
            </w:tcMar>
            <w:vAlign w:val="center"/>
          </w:tcPr>
          <w:p w14:paraId="0D83016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业委会书面提出的整改项目，没有在5天之内书面答复</w:t>
            </w:r>
          </w:p>
        </w:tc>
        <w:tc>
          <w:tcPr>
            <w:tcW w:w="1391" w:type="dxa"/>
            <w:shd w:val="clear" w:color="auto" w:fill="FFFFFF"/>
            <w:noWrap w:val="0"/>
            <w:tcMar>
              <w:left w:w="108" w:type="dxa"/>
              <w:right w:w="108" w:type="dxa"/>
            </w:tcMar>
            <w:vAlign w:val="center"/>
          </w:tcPr>
          <w:p w14:paraId="36E6A96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5CEE73A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20D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28CDBD8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18</w:t>
            </w:r>
          </w:p>
        </w:tc>
        <w:tc>
          <w:tcPr>
            <w:tcW w:w="4500" w:type="dxa"/>
            <w:shd w:val="clear" w:color="auto" w:fill="FFFFFF"/>
            <w:noWrap w:val="0"/>
            <w:tcMar>
              <w:left w:w="108" w:type="dxa"/>
              <w:right w:w="108" w:type="dxa"/>
            </w:tcMar>
            <w:vAlign w:val="center"/>
          </w:tcPr>
          <w:p w14:paraId="3751B35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生活、建筑垃圾没有及时清理造成环境污染的</w:t>
            </w:r>
          </w:p>
        </w:tc>
        <w:tc>
          <w:tcPr>
            <w:tcW w:w="1391" w:type="dxa"/>
            <w:shd w:val="clear" w:color="auto" w:fill="FFFFFF"/>
            <w:noWrap w:val="0"/>
            <w:tcMar>
              <w:left w:w="108" w:type="dxa"/>
              <w:right w:w="108" w:type="dxa"/>
            </w:tcMar>
            <w:vAlign w:val="center"/>
          </w:tcPr>
          <w:p w14:paraId="718DBD6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18E4DDE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570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8891C4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19</w:t>
            </w:r>
          </w:p>
        </w:tc>
        <w:tc>
          <w:tcPr>
            <w:tcW w:w="4500" w:type="dxa"/>
            <w:shd w:val="clear" w:color="auto" w:fill="FFFFFF"/>
            <w:noWrap w:val="0"/>
            <w:tcMar>
              <w:left w:w="108" w:type="dxa"/>
              <w:right w:w="108" w:type="dxa"/>
            </w:tcMar>
            <w:vAlign w:val="center"/>
          </w:tcPr>
          <w:p w14:paraId="764D2F7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没有做到沟渠每半年清理一次或根据实际需要进行不定期清理；公共区域、夏天每周喷洒药水1次，其余根据季节变化及实际需要进行消杀</w:t>
            </w:r>
          </w:p>
        </w:tc>
        <w:tc>
          <w:tcPr>
            <w:tcW w:w="1391" w:type="dxa"/>
            <w:shd w:val="clear" w:color="auto" w:fill="FFFFFF"/>
            <w:noWrap w:val="0"/>
            <w:tcMar>
              <w:left w:w="108" w:type="dxa"/>
              <w:right w:w="108" w:type="dxa"/>
            </w:tcMar>
            <w:vAlign w:val="center"/>
          </w:tcPr>
          <w:p w14:paraId="5EF180F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492CF69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D86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53BC064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w:t>
            </w:r>
          </w:p>
        </w:tc>
        <w:tc>
          <w:tcPr>
            <w:tcW w:w="4500" w:type="dxa"/>
            <w:shd w:val="clear" w:color="auto" w:fill="FFFFFF"/>
            <w:noWrap w:val="0"/>
            <w:tcMar>
              <w:left w:w="108" w:type="dxa"/>
              <w:right w:w="108" w:type="dxa"/>
            </w:tcMar>
            <w:vAlign w:val="center"/>
          </w:tcPr>
          <w:p w14:paraId="6723A75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没有对水景点打捞漂浮杂物，没有做到保持水体清洁，水面无漂浮物</w:t>
            </w:r>
          </w:p>
        </w:tc>
        <w:tc>
          <w:tcPr>
            <w:tcW w:w="1391" w:type="dxa"/>
            <w:shd w:val="clear" w:color="auto" w:fill="FFFFFF"/>
            <w:noWrap w:val="0"/>
            <w:tcMar>
              <w:left w:w="108" w:type="dxa"/>
              <w:right w:w="108" w:type="dxa"/>
            </w:tcMar>
            <w:vAlign w:val="center"/>
          </w:tcPr>
          <w:p w14:paraId="3B4E56F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5F40315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2CDB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C902DD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21</w:t>
            </w:r>
          </w:p>
        </w:tc>
        <w:tc>
          <w:tcPr>
            <w:tcW w:w="4500" w:type="dxa"/>
            <w:shd w:val="clear" w:color="auto" w:fill="FFFFFF"/>
            <w:noWrap w:val="0"/>
            <w:tcMar>
              <w:left w:w="108" w:type="dxa"/>
              <w:right w:w="108" w:type="dxa"/>
            </w:tcMar>
            <w:vAlign w:val="center"/>
          </w:tcPr>
          <w:p w14:paraId="19990C1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没有对道路、地面每日清扫1次以上</w:t>
            </w:r>
          </w:p>
        </w:tc>
        <w:tc>
          <w:tcPr>
            <w:tcW w:w="1391" w:type="dxa"/>
            <w:shd w:val="clear" w:color="auto" w:fill="FFFFFF"/>
            <w:noWrap w:val="0"/>
            <w:tcMar>
              <w:left w:w="108" w:type="dxa"/>
              <w:right w:w="108" w:type="dxa"/>
            </w:tcMar>
            <w:vAlign w:val="center"/>
          </w:tcPr>
          <w:p w14:paraId="59B64CD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5CF0F6F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FB6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79EDD2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w:t>
            </w:r>
          </w:p>
        </w:tc>
        <w:tc>
          <w:tcPr>
            <w:tcW w:w="4500" w:type="dxa"/>
            <w:shd w:val="clear" w:color="auto" w:fill="FFFFFF"/>
            <w:noWrap w:val="0"/>
            <w:tcMar>
              <w:left w:w="108" w:type="dxa"/>
              <w:right w:w="108" w:type="dxa"/>
            </w:tcMar>
            <w:vAlign w:val="center"/>
          </w:tcPr>
          <w:p w14:paraId="47D243A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没有对明沟、绿地每周清扫1次</w:t>
            </w:r>
          </w:p>
        </w:tc>
        <w:tc>
          <w:tcPr>
            <w:tcW w:w="1391" w:type="dxa"/>
            <w:shd w:val="clear" w:color="auto" w:fill="FFFFFF"/>
            <w:noWrap w:val="0"/>
            <w:tcMar>
              <w:left w:w="108" w:type="dxa"/>
              <w:right w:w="108" w:type="dxa"/>
            </w:tcMar>
            <w:vAlign w:val="center"/>
          </w:tcPr>
          <w:p w14:paraId="4B78315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4E88876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C3C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5ECBE35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23</w:t>
            </w:r>
          </w:p>
        </w:tc>
        <w:tc>
          <w:tcPr>
            <w:tcW w:w="4500" w:type="dxa"/>
            <w:shd w:val="clear" w:color="auto" w:fill="FFFFFF"/>
            <w:noWrap w:val="0"/>
            <w:tcMar>
              <w:left w:w="108" w:type="dxa"/>
              <w:right w:w="108" w:type="dxa"/>
            </w:tcMar>
            <w:vAlign w:val="center"/>
          </w:tcPr>
          <w:p w14:paraId="2EC130E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没有对门厅玻璃每月4次擦洗</w:t>
            </w:r>
          </w:p>
        </w:tc>
        <w:tc>
          <w:tcPr>
            <w:tcW w:w="1391" w:type="dxa"/>
            <w:shd w:val="clear" w:color="auto" w:fill="FFFFFF"/>
            <w:noWrap w:val="0"/>
            <w:tcMar>
              <w:left w:w="108" w:type="dxa"/>
              <w:right w:w="108" w:type="dxa"/>
            </w:tcMar>
            <w:vAlign w:val="center"/>
          </w:tcPr>
          <w:p w14:paraId="68773D3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2EFF57D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14A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8FD1A8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24</w:t>
            </w:r>
          </w:p>
        </w:tc>
        <w:tc>
          <w:tcPr>
            <w:tcW w:w="4500" w:type="dxa"/>
            <w:shd w:val="clear" w:color="auto" w:fill="FFFFFF"/>
            <w:noWrap w:val="0"/>
            <w:tcMar>
              <w:left w:w="108" w:type="dxa"/>
              <w:right w:w="108" w:type="dxa"/>
            </w:tcMar>
            <w:vAlign w:val="center"/>
          </w:tcPr>
          <w:p w14:paraId="505BFAC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没有做到天花板、墙面、公共灯具、单元门保持清洁，目视不干净，有蜘蛛网</w:t>
            </w:r>
          </w:p>
        </w:tc>
        <w:tc>
          <w:tcPr>
            <w:tcW w:w="1391" w:type="dxa"/>
            <w:shd w:val="clear" w:color="auto" w:fill="FFFFFF"/>
            <w:noWrap w:val="0"/>
            <w:tcMar>
              <w:left w:w="108" w:type="dxa"/>
              <w:right w:w="108" w:type="dxa"/>
            </w:tcMar>
            <w:vAlign w:val="center"/>
          </w:tcPr>
          <w:p w14:paraId="30B65A7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1ADDEBA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F1D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87" w:hRule="atLeast"/>
          <w:jc w:val="center"/>
        </w:trPr>
        <w:tc>
          <w:tcPr>
            <w:tcW w:w="678" w:type="dxa"/>
            <w:shd w:val="clear" w:color="auto" w:fill="FFFFFF"/>
            <w:noWrap w:val="0"/>
            <w:tcMar>
              <w:left w:w="108" w:type="dxa"/>
              <w:right w:w="108" w:type="dxa"/>
            </w:tcMar>
            <w:vAlign w:val="center"/>
          </w:tcPr>
          <w:p w14:paraId="3D7C5F9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25</w:t>
            </w:r>
          </w:p>
        </w:tc>
        <w:tc>
          <w:tcPr>
            <w:tcW w:w="4500" w:type="dxa"/>
            <w:shd w:val="clear" w:color="auto" w:fill="FFFFFF"/>
            <w:noWrap w:val="0"/>
            <w:tcMar>
              <w:left w:w="108" w:type="dxa"/>
              <w:right w:w="108" w:type="dxa"/>
            </w:tcMar>
            <w:vAlign w:val="center"/>
          </w:tcPr>
          <w:p w14:paraId="28C984A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消防栓、指示牌等公共设施没有每周擦抹一次，目视有灰尘、有污渍</w:t>
            </w:r>
          </w:p>
        </w:tc>
        <w:tc>
          <w:tcPr>
            <w:tcW w:w="1391" w:type="dxa"/>
            <w:shd w:val="clear" w:color="auto" w:fill="FFFFFF"/>
            <w:noWrap w:val="0"/>
            <w:tcMar>
              <w:left w:w="108" w:type="dxa"/>
              <w:right w:w="108" w:type="dxa"/>
            </w:tcMar>
            <w:vAlign w:val="center"/>
          </w:tcPr>
          <w:p w14:paraId="6B2C324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5D00FBD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7B3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2D03ADC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26</w:t>
            </w:r>
          </w:p>
        </w:tc>
        <w:tc>
          <w:tcPr>
            <w:tcW w:w="4500" w:type="dxa"/>
            <w:shd w:val="clear" w:color="auto" w:fill="FFFFFF"/>
            <w:noWrap w:val="0"/>
            <w:tcMar>
              <w:left w:w="108" w:type="dxa"/>
              <w:right w:w="108" w:type="dxa"/>
            </w:tcMar>
            <w:vAlign w:val="center"/>
          </w:tcPr>
          <w:p w14:paraId="0767725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楼梯扶手、栏杆、窗台没有每周擦抹1次，不干净、有灰尘</w:t>
            </w:r>
          </w:p>
        </w:tc>
        <w:tc>
          <w:tcPr>
            <w:tcW w:w="1391" w:type="dxa"/>
            <w:shd w:val="clear" w:color="auto" w:fill="FFFFFF"/>
            <w:noWrap w:val="0"/>
            <w:tcMar>
              <w:left w:w="108" w:type="dxa"/>
              <w:right w:w="108" w:type="dxa"/>
            </w:tcMar>
            <w:vAlign w:val="center"/>
          </w:tcPr>
          <w:p w14:paraId="1F247F7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6F1E75F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8AD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0170CB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27</w:t>
            </w:r>
          </w:p>
        </w:tc>
        <w:tc>
          <w:tcPr>
            <w:tcW w:w="4500" w:type="dxa"/>
            <w:shd w:val="clear" w:color="auto" w:fill="FFFFFF"/>
            <w:noWrap w:val="0"/>
            <w:tcMar>
              <w:left w:w="108" w:type="dxa"/>
              <w:right w:w="108" w:type="dxa"/>
            </w:tcMar>
            <w:vAlign w:val="center"/>
          </w:tcPr>
          <w:p w14:paraId="78968ED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步行楼梯没有保持干净无障碍物，没有每日清扫1次</w:t>
            </w:r>
          </w:p>
        </w:tc>
        <w:tc>
          <w:tcPr>
            <w:tcW w:w="1391" w:type="dxa"/>
            <w:shd w:val="clear" w:color="auto" w:fill="FFFFFF"/>
            <w:noWrap w:val="0"/>
            <w:tcMar>
              <w:left w:w="108" w:type="dxa"/>
              <w:right w:w="108" w:type="dxa"/>
            </w:tcMar>
            <w:vAlign w:val="center"/>
          </w:tcPr>
          <w:p w14:paraId="26EA533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2A2DBCB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F66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55BEBAF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28</w:t>
            </w:r>
          </w:p>
        </w:tc>
        <w:tc>
          <w:tcPr>
            <w:tcW w:w="4500" w:type="dxa"/>
            <w:shd w:val="clear" w:color="auto" w:fill="FFFFFF"/>
            <w:noWrap w:val="0"/>
            <w:tcMar>
              <w:left w:w="108" w:type="dxa"/>
              <w:right w:w="108" w:type="dxa"/>
            </w:tcMar>
            <w:vAlign w:val="center"/>
          </w:tcPr>
          <w:p w14:paraId="5F0B87A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门厅大堂地面没有每日清扫1次、拖洗1次</w:t>
            </w:r>
          </w:p>
        </w:tc>
        <w:tc>
          <w:tcPr>
            <w:tcW w:w="1391" w:type="dxa"/>
            <w:shd w:val="clear" w:color="auto" w:fill="FFFFFF"/>
            <w:noWrap w:val="0"/>
            <w:tcMar>
              <w:left w:w="108" w:type="dxa"/>
              <w:right w:w="108" w:type="dxa"/>
            </w:tcMar>
            <w:vAlign w:val="center"/>
          </w:tcPr>
          <w:p w14:paraId="3D5E91C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0B2CBAD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C39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F662CA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29</w:t>
            </w:r>
          </w:p>
        </w:tc>
        <w:tc>
          <w:tcPr>
            <w:tcW w:w="4500" w:type="dxa"/>
            <w:shd w:val="clear" w:color="auto" w:fill="FFFFFF"/>
            <w:noWrap w:val="0"/>
            <w:tcMar>
              <w:left w:w="108" w:type="dxa"/>
              <w:right w:w="108" w:type="dxa"/>
            </w:tcMar>
            <w:vAlign w:val="center"/>
          </w:tcPr>
          <w:p w14:paraId="6BBF07A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安保人员工作期间抽烟或喝酒或打牌或玩手机闲聊等耽误工作的</w:t>
            </w:r>
          </w:p>
        </w:tc>
        <w:tc>
          <w:tcPr>
            <w:tcW w:w="1391" w:type="dxa"/>
            <w:shd w:val="clear" w:color="auto" w:fill="FFFFFF"/>
            <w:noWrap w:val="0"/>
            <w:tcMar>
              <w:left w:w="108" w:type="dxa"/>
              <w:right w:w="108" w:type="dxa"/>
            </w:tcMar>
            <w:vAlign w:val="center"/>
          </w:tcPr>
          <w:p w14:paraId="309F4EC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200元/次</w:t>
            </w:r>
          </w:p>
        </w:tc>
        <w:tc>
          <w:tcPr>
            <w:tcW w:w="2370" w:type="dxa"/>
            <w:shd w:val="clear" w:color="auto" w:fill="FFFFFF"/>
            <w:noWrap w:val="0"/>
            <w:tcMar>
              <w:left w:w="108" w:type="dxa"/>
              <w:right w:w="108" w:type="dxa"/>
            </w:tcMar>
            <w:vAlign w:val="center"/>
          </w:tcPr>
          <w:p w14:paraId="4C910A2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9E7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CBD57B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p>
        </w:tc>
        <w:tc>
          <w:tcPr>
            <w:tcW w:w="4500" w:type="dxa"/>
            <w:shd w:val="clear" w:color="auto" w:fill="FFFFFF"/>
            <w:noWrap w:val="0"/>
            <w:tcMar>
              <w:left w:w="108" w:type="dxa"/>
              <w:right w:w="108" w:type="dxa"/>
            </w:tcMar>
            <w:vAlign w:val="center"/>
          </w:tcPr>
          <w:p w14:paraId="688E18B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没有配备对讲装置</w:t>
            </w:r>
          </w:p>
        </w:tc>
        <w:tc>
          <w:tcPr>
            <w:tcW w:w="1391" w:type="dxa"/>
            <w:shd w:val="clear" w:color="auto" w:fill="FFFFFF"/>
            <w:noWrap w:val="0"/>
            <w:tcMar>
              <w:left w:w="108" w:type="dxa"/>
              <w:right w:w="108" w:type="dxa"/>
            </w:tcMar>
            <w:vAlign w:val="center"/>
          </w:tcPr>
          <w:p w14:paraId="7E868D2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46E0897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051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5306BA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w:t>
            </w:r>
          </w:p>
        </w:tc>
        <w:tc>
          <w:tcPr>
            <w:tcW w:w="4500" w:type="dxa"/>
            <w:shd w:val="clear" w:color="auto" w:fill="FFFFFF"/>
            <w:noWrap w:val="0"/>
            <w:tcMar>
              <w:left w:w="108" w:type="dxa"/>
              <w:right w:w="108" w:type="dxa"/>
            </w:tcMar>
            <w:vAlign w:val="center"/>
          </w:tcPr>
          <w:p w14:paraId="274BD4C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保安人员抽查不能正确使用各类消防、物防、技防器械和设备</w:t>
            </w:r>
          </w:p>
        </w:tc>
        <w:tc>
          <w:tcPr>
            <w:tcW w:w="1391" w:type="dxa"/>
            <w:shd w:val="clear" w:color="auto" w:fill="FFFFFF"/>
            <w:noWrap w:val="0"/>
            <w:tcMar>
              <w:left w:w="108" w:type="dxa"/>
              <w:right w:w="108" w:type="dxa"/>
            </w:tcMar>
            <w:vAlign w:val="center"/>
          </w:tcPr>
          <w:p w14:paraId="590E919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69977F2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179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D6C770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w:t>
            </w:r>
          </w:p>
        </w:tc>
        <w:tc>
          <w:tcPr>
            <w:tcW w:w="4500" w:type="dxa"/>
            <w:shd w:val="clear" w:color="auto" w:fill="FFFFFF"/>
            <w:noWrap w:val="0"/>
            <w:tcMar>
              <w:left w:w="108" w:type="dxa"/>
              <w:right w:w="108" w:type="dxa"/>
            </w:tcMar>
            <w:vAlign w:val="center"/>
          </w:tcPr>
          <w:p w14:paraId="1986289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保安上岗时无佩戴统一标志，穿戴统一制服衣帽，仪容仪表规范整齐</w:t>
            </w:r>
          </w:p>
        </w:tc>
        <w:tc>
          <w:tcPr>
            <w:tcW w:w="1391" w:type="dxa"/>
            <w:shd w:val="clear" w:color="auto" w:fill="FFFFFF"/>
            <w:noWrap w:val="0"/>
            <w:tcMar>
              <w:left w:w="108" w:type="dxa"/>
              <w:right w:w="108" w:type="dxa"/>
            </w:tcMar>
            <w:vAlign w:val="center"/>
          </w:tcPr>
          <w:p w14:paraId="3DE3CCD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4661FE4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0BC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0440D67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w:t>
            </w:r>
          </w:p>
        </w:tc>
        <w:tc>
          <w:tcPr>
            <w:tcW w:w="4500" w:type="dxa"/>
            <w:shd w:val="clear" w:color="auto" w:fill="FFFFFF"/>
            <w:noWrap w:val="0"/>
            <w:tcMar>
              <w:left w:w="108" w:type="dxa"/>
              <w:right w:w="108" w:type="dxa"/>
            </w:tcMar>
            <w:vAlign w:val="center"/>
          </w:tcPr>
          <w:p w14:paraId="0649A60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在遇到异常情况或住户紧急求助时，未及时赶到现场，并采取措施</w:t>
            </w:r>
          </w:p>
        </w:tc>
        <w:tc>
          <w:tcPr>
            <w:tcW w:w="1391" w:type="dxa"/>
            <w:shd w:val="clear" w:color="auto" w:fill="FFFFFF"/>
            <w:noWrap w:val="0"/>
            <w:tcMar>
              <w:left w:w="108" w:type="dxa"/>
              <w:right w:w="108" w:type="dxa"/>
            </w:tcMar>
            <w:vAlign w:val="center"/>
          </w:tcPr>
          <w:p w14:paraId="175F4F6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1383354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B62E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0348667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34</w:t>
            </w:r>
          </w:p>
        </w:tc>
        <w:tc>
          <w:tcPr>
            <w:tcW w:w="4500" w:type="dxa"/>
            <w:shd w:val="clear" w:color="auto" w:fill="FFFFFF"/>
            <w:noWrap w:val="0"/>
            <w:tcMar>
              <w:left w:w="108" w:type="dxa"/>
              <w:right w:w="108" w:type="dxa"/>
            </w:tcMar>
            <w:vAlign w:val="center"/>
          </w:tcPr>
          <w:p w14:paraId="152CE94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保安对不法侵害业主的行为不及时制止及协助报警的</w:t>
            </w:r>
          </w:p>
        </w:tc>
        <w:tc>
          <w:tcPr>
            <w:tcW w:w="1391" w:type="dxa"/>
            <w:shd w:val="clear" w:color="auto" w:fill="FFFFFF"/>
            <w:noWrap w:val="0"/>
            <w:tcMar>
              <w:left w:w="108" w:type="dxa"/>
              <w:right w:w="108" w:type="dxa"/>
            </w:tcMar>
            <w:vAlign w:val="center"/>
          </w:tcPr>
          <w:p w14:paraId="6C862B7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500/次</w:t>
            </w:r>
          </w:p>
        </w:tc>
        <w:tc>
          <w:tcPr>
            <w:tcW w:w="2370" w:type="dxa"/>
            <w:shd w:val="clear" w:color="auto" w:fill="FFFFFF"/>
            <w:noWrap w:val="0"/>
            <w:tcMar>
              <w:left w:w="108" w:type="dxa"/>
              <w:right w:w="108" w:type="dxa"/>
            </w:tcMar>
            <w:vAlign w:val="center"/>
          </w:tcPr>
          <w:p w14:paraId="51A80A4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3E6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7B7C09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35</w:t>
            </w:r>
          </w:p>
        </w:tc>
        <w:tc>
          <w:tcPr>
            <w:tcW w:w="4500" w:type="dxa"/>
            <w:shd w:val="clear" w:color="auto" w:fill="FFFFFF"/>
            <w:noWrap w:val="0"/>
            <w:tcMar>
              <w:left w:w="108" w:type="dxa"/>
              <w:right w:w="108" w:type="dxa"/>
            </w:tcMar>
            <w:vAlign w:val="center"/>
          </w:tcPr>
          <w:p w14:paraId="5234597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小区监控没有24小时值班</w:t>
            </w:r>
          </w:p>
        </w:tc>
        <w:tc>
          <w:tcPr>
            <w:tcW w:w="1391" w:type="dxa"/>
            <w:shd w:val="clear" w:color="auto" w:fill="FFFFFF"/>
            <w:noWrap w:val="0"/>
            <w:tcMar>
              <w:left w:w="108" w:type="dxa"/>
              <w:right w:w="108" w:type="dxa"/>
            </w:tcMar>
            <w:vAlign w:val="center"/>
          </w:tcPr>
          <w:p w14:paraId="075A82F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12DBF3F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541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F3A16D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36</w:t>
            </w:r>
          </w:p>
        </w:tc>
        <w:tc>
          <w:tcPr>
            <w:tcW w:w="4500" w:type="dxa"/>
            <w:shd w:val="clear" w:color="auto" w:fill="FFFFFF"/>
            <w:noWrap w:val="0"/>
            <w:tcMar>
              <w:left w:w="108" w:type="dxa"/>
              <w:right w:w="108" w:type="dxa"/>
            </w:tcMar>
            <w:vAlign w:val="center"/>
          </w:tcPr>
          <w:p w14:paraId="2418CF9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监控室人员随意放人进入查看业主隐私的</w:t>
            </w:r>
          </w:p>
        </w:tc>
        <w:tc>
          <w:tcPr>
            <w:tcW w:w="1391" w:type="dxa"/>
            <w:shd w:val="clear" w:color="auto" w:fill="FFFFFF"/>
            <w:noWrap w:val="0"/>
            <w:tcMar>
              <w:left w:w="108" w:type="dxa"/>
              <w:right w:w="108" w:type="dxa"/>
            </w:tcMar>
            <w:vAlign w:val="center"/>
          </w:tcPr>
          <w:p w14:paraId="7FB0FB2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35605D3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ADC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2035D9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37</w:t>
            </w:r>
          </w:p>
        </w:tc>
        <w:tc>
          <w:tcPr>
            <w:tcW w:w="4500" w:type="dxa"/>
            <w:shd w:val="clear" w:color="auto" w:fill="FFFFFF"/>
            <w:noWrap w:val="0"/>
            <w:tcMar>
              <w:left w:w="108" w:type="dxa"/>
              <w:right w:w="108" w:type="dxa"/>
            </w:tcMar>
            <w:vAlign w:val="center"/>
          </w:tcPr>
          <w:p w14:paraId="562365E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监控20米内不能清楚地显示出入人员的面部特征和车辆的车牌号，48小时内不及时维修的。</w:t>
            </w:r>
          </w:p>
        </w:tc>
        <w:tc>
          <w:tcPr>
            <w:tcW w:w="1391" w:type="dxa"/>
            <w:shd w:val="clear" w:color="auto" w:fill="FFFFFF"/>
            <w:noWrap w:val="0"/>
            <w:tcMar>
              <w:left w:w="108" w:type="dxa"/>
              <w:right w:w="108" w:type="dxa"/>
            </w:tcMar>
            <w:vAlign w:val="center"/>
          </w:tcPr>
          <w:p w14:paraId="445F4F8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66D7C79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导致事故无从追责的，中标人全责</w:t>
            </w:r>
          </w:p>
        </w:tc>
      </w:tr>
      <w:tr w14:paraId="0A6A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904059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38</w:t>
            </w:r>
          </w:p>
        </w:tc>
        <w:tc>
          <w:tcPr>
            <w:tcW w:w="4500" w:type="dxa"/>
            <w:shd w:val="clear" w:color="auto" w:fill="FFFFFF"/>
            <w:noWrap w:val="0"/>
            <w:tcMar>
              <w:left w:w="108" w:type="dxa"/>
              <w:right w:w="108" w:type="dxa"/>
            </w:tcMar>
            <w:vAlign w:val="center"/>
          </w:tcPr>
          <w:p w14:paraId="194341E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配电房没有做到每天专人巡查1次</w:t>
            </w:r>
          </w:p>
        </w:tc>
        <w:tc>
          <w:tcPr>
            <w:tcW w:w="1391" w:type="dxa"/>
            <w:shd w:val="clear" w:color="auto" w:fill="FFFFFF"/>
            <w:noWrap w:val="0"/>
            <w:tcMar>
              <w:left w:w="108" w:type="dxa"/>
              <w:right w:w="108" w:type="dxa"/>
            </w:tcMar>
            <w:vAlign w:val="center"/>
          </w:tcPr>
          <w:p w14:paraId="5623B50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7811202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629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0F82262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39</w:t>
            </w:r>
          </w:p>
        </w:tc>
        <w:tc>
          <w:tcPr>
            <w:tcW w:w="4500" w:type="dxa"/>
            <w:shd w:val="clear" w:color="auto" w:fill="FFFFFF"/>
            <w:noWrap w:val="0"/>
            <w:tcMar>
              <w:left w:w="108" w:type="dxa"/>
              <w:right w:w="108" w:type="dxa"/>
            </w:tcMar>
            <w:vAlign w:val="center"/>
          </w:tcPr>
          <w:p w14:paraId="1B61A06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配电房员工及消防人员，电梯维保人员等没有相关专业资格证</w:t>
            </w:r>
          </w:p>
        </w:tc>
        <w:tc>
          <w:tcPr>
            <w:tcW w:w="1391" w:type="dxa"/>
            <w:shd w:val="clear" w:color="auto" w:fill="FFFFFF"/>
            <w:noWrap w:val="0"/>
            <w:tcMar>
              <w:left w:w="108" w:type="dxa"/>
              <w:right w:w="108" w:type="dxa"/>
            </w:tcMar>
            <w:vAlign w:val="center"/>
          </w:tcPr>
          <w:p w14:paraId="6218BCC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2000/次</w:t>
            </w:r>
          </w:p>
        </w:tc>
        <w:tc>
          <w:tcPr>
            <w:tcW w:w="2370" w:type="dxa"/>
            <w:shd w:val="clear" w:color="auto" w:fill="FFFFFF"/>
            <w:noWrap w:val="0"/>
            <w:tcMar>
              <w:left w:w="108" w:type="dxa"/>
              <w:right w:w="108" w:type="dxa"/>
            </w:tcMar>
            <w:vAlign w:val="center"/>
          </w:tcPr>
          <w:p w14:paraId="5E93E31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限期不更换成有资质人员的，中标人违约，合同解除</w:t>
            </w:r>
          </w:p>
        </w:tc>
      </w:tr>
      <w:tr w14:paraId="10BE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014280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40</w:t>
            </w:r>
          </w:p>
        </w:tc>
        <w:tc>
          <w:tcPr>
            <w:tcW w:w="4500" w:type="dxa"/>
            <w:shd w:val="clear" w:color="auto" w:fill="FFFFFF"/>
            <w:noWrap w:val="0"/>
            <w:tcMar>
              <w:left w:w="108" w:type="dxa"/>
              <w:right w:w="108" w:type="dxa"/>
            </w:tcMar>
            <w:vAlign w:val="center"/>
          </w:tcPr>
          <w:p w14:paraId="524EC2A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人行出入门卫岗亭没有做到出入口24小时值班看守</w:t>
            </w:r>
          </w:p>
        </w:tc>
        <w:tc>
          <w:tcPr>
            <w:tcW w:w="1391" w:type="dxa"/>
            <w:shd w:val="clear" w:color="auto" w:fill="FFFFFF"/>
            <w:noWrap w:val="0"/>
            <w:tcMar>
              <w:left w:w="108" w:type="dxa"/>
              <w:right w:w="108" w:type="dxa"/>
            </w:tcMar>
            <w:vAlign w:val="center"/>
          </w:tcPr>
          <w:p w14:paraId="0320AFF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14DF64B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A42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D84B9E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w:t>
            </w:r>
          </w:p>
        </w:tc>
        <w:tc>
          <w:tcPr>
            <w:tcW w:w="4500" w:type="dxa"/>
            <w:shd w:val="clear" w:color="auto" w:fill="FFFFFF"/>
            <w:noWrap w:val="0"/>
            <w:tcMar>
              <w:left w:w="108" w:type="dxa"/>
              <w:right w:w="108" w:type="dxa"/>
            </w:tcMar>
            <w:vAlign w:val="center"/>
          </w:tcPr>
          <w:p w14:paraId="32F640B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没有详细交接班记录和外来车辆的登记记录</w:t>
            </w:r>
          </w:p>
        </w:tc>
        <w:tc>
          <w:tcPr>
            <w:tcW w:w="1391" w:type="dxa"/>
            <w:shd w:val="clear" w:color="auto" w:fill="FFFFFF"/>
            <w:noWrap w:val="0"/>
            <w:tcMar>
              <w:left w:w="108" w:type="dxa"/>
              <w:right w:w="108" w:type="dxa"/>
            </w:tcMar>
            <w:vAlign w:val="center"/>
          </w:tcPr>
          <w:p w14:paraId="7A01C33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2EBB22A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0B4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831DAB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w:t>
            </w:r>
          </w:p>
        </w:tc>
        <w:tc>
          <w:tcPr>
            <w:tcW w:w="4500" w:type="dxa"/>
            <w:shd w:val="clear" w:color="auto" w:fill="FFFFFF"/>
            <w:noWrap w:val="0"/>
            <w:tcMar>
              <w:left w:w="108" w:type="dxa"/>
              <w:right w:w="108" w:type="dxa"/>
            </w:tcMar>
            <w:vAlign w:val="center"/>
          </w:tcPr>
          <w:p w14:paraId="5B2BCBB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重点部位未设巡更点，或没有巡更记录，则按每处每次扣除。（如：一楼、负一楼、顶楼均应设置巡更点）</w:t>
            </w:r>
          </w:p>
        </w:tc>
        <w:tc>
          <w:tcPr>
            <w:tcW w:w="1391" w:type="dxa"/>
            <w:shd w:val="clear" w:color="auto" w:fill="FFFFFF"/>
            <w:noWrap w:val="0"/>
            <w:tcMar>
              <w:left w:w="108" w:type="dxa"/>
              <w:right w:w="108" w:type="dxa"/>
            </w:tcMar>
            <w:vAlign w:val="center"/>
          </w:tcPr>
          <w:p w14:paraId="30A2D9E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3702740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E1B7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E2A85A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w:t>
            </w:r>
          </w:p>
        </w:tc>
        <w:tc>
          <w:tcPr>
            <w:tcW w:w="4500" w:type="dxa"/>
            <w:shd w:val="clear" w:color="auto" w:fill="FFFFFF"/>
            <w:noWrap w:val="0"/>
            <w:tcMar>
              <w:left w:w="108" w:type="dxa"/>
              <w:right w:w="108" w:type="dxa"/>
            </w:tcMar>
            <w:vAlign w:val="center"/>
          </w:tcPr>
          <w:p w14:paraId="02DE372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设置单元门门禁后，保安未及时巡查单元门关闭情况（至少早、晚各一次），则按每处每次扣除。</w:t>
            </w:r>
          </w:p>
        </w:tc>
        <w:tc>
          <w:tcPr>
            <w:tcW w:w="1391" w:type="dxa"/>
            <w:shd w:val="clear" w:color="auto" w:fill="FFFFFF"/>
            <w:noWrap w:val="0"/>
            <w:tcMar>
              <w:left w:w="108" w:type="dxa"/>
              <w:right w:w="108" w:type="dxa"/>
            </w:tcMar>
            <w:vAlign w:val="center"/>
          </w:tcPr>
          <w:p w14:paraId="03F7E8B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2B71B77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1F5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87656B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w:t>
            </w:r>
          </w:p>
        </w:tc>
        <w:tc>
          <w:tcPr>
            <w:tcW w:w="4500" w:type="dxa"/>
            <w:shd w:val="clear" w:color="auto" w:fill="FFFFFF"/>
            <w:noWrap w:val="0"/>
            <w:tcMar>
              <w:left w:w="108" w:type="dxa"/>
              <w:right w:w="108" w:type="dxa"/>
            </w:tcMar>
            <w:vAlign w:val="center"/>
          </w:tcPr>
          <w:p w14:paraId="63026FD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在已设立车辆停放指示牌和地标、行驶有规定路线情况下，对不按顺序停放车辆未采取相关措施的，则按每处每次扣除。</w:t>
            </w:r>
          </w:p>
        </w:tc>
        <w:tc>
          <w:tcPr>
            <w:tcW w:w="1391" w:type="dxa"/>
            <w:shd w:val="clear" w:color="auto" w:fill="FFFFFF"/>
            <w:noWrap w:val="0"/>
            <w:tcMar>
              <w:left w:w="108" w:type="dxa"/>
              <w:right w:w="108" w:type="dxa"/>
            </w:tcMar>
            <w:vAlign w:val="center"/>
          </w:tcPr>
          <w:p w14:paraId="730B968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6831252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3D2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319D11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45</w:t>
            </w:r>
          </w:p>
        </w:tc>
        <w:tc>
          <w:tcPr>
            <w:tcW w:w="4500" w:type="dxa"/>
            <w:shd w:val="clear" w:color="auto" w:fill="FFFFFF"/>
            <w:noWrap w:val="0"/>
            <w:tcMar>
              <w:left w:w="108" w:type="dxa"/>
              <w:right w:w="108" w:type="dxa"/>
            </w:tcMar>
            <w:vAlign w:val="center"/>
          </w:tcPr>
          <w:p w14:paraId="6425B12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没有人员24小时巡视、上下班高峰期协助停车事宜，特别是学校门口</w:t>
            </w:r>
          </w:p>
        </w:tc>
        <w:tc>
          <w:tcPr>
            <w:tcW w:w="1391" w:type="dxa"/>
            <w:shd w:val="clear" w:color="auto" w:fill="FFFFFF"/>
            <w:noWrap w:val="0"/>
            <w:tcMar>
              <w:left w:w="108" w:type="dxa"/>
              <w:right w:w="108" w:type="dxa"/>
            </w:tcMar>
            <w:vAlign w:val="center"/>
          </w:tcPr>
          <w:p w14:paraId="5A7EC38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1F944BB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16B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BFFE18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46</w:t>
            </w:r>
          </w:p>
        </w:tc>
        <w:tc>
          <w:tcPr>
            <w:tcW w:w="4500" w:type="dxa"/>
            <w:shd w:val="clear" w:color="auto" w:fill="FFFFFF"/>
            <w:noWrap w:val="0"/>
            <w:tcMar>
              <w:left w:w="108" w:type="dxa"/>
              <w:right w:w="108" w:type="dxa"/>
            </w:tcMar>
            <w:vAlign w:val="center"/>
          </w:tcPr>
          <w:p w14:paraId="7F9A8C5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草坪没有保持平整或草高超过8㎝</w:t>
            </w:r>
          </w:p>
        </w:tc>
        <w:tc>
          <w:tcPr>
            <w:tcW w:w="1391" w:type="dxa"/>
            <w:shd w:val="clear" w:color="auto" w:fill="FFFFFF"/>
            <w:noWrap w:val="0"/>
            <w:tcMar>
              <w:left w:w="108" w:type="dxa"/>
              <w:right w:w="108" w:type="dxa"/>
            </w:tcMar>
            <w:vAlign w:val="center"/>
          </w:tcPr>
          <w:p w14:paraId="3DD8A7C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378381A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061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C4956A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47</w:t>
            </w:r>
          </w:p>
        </w:tc>
        <w:tc>
          <w:tcPr>
            <w:tcW w:w="4500" w:type="dxa"/>
            <w:shd w:val="clear" w:color="auto" w:fill="FFFFFF"/>
            <w:noWrap w:val="0"/>
            <w:tcMar>
              <w:left w:w="108" w:type="dxa"/>
              <w:right w:w="108" w:type="dxa"/>
            </w:tcMar>
            <w:vAlign w:val="center"/>
          </w:tcPr>
          <w:p w14:paraId="18C71A3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没有及时清除枯萎的花蒂、黄叶、杂草、垃圾</w:t>
            </w:r>
          </w:p>
        </w:tc>
        <w:tc>
          <w:tcPr>
            <w:tcW w:w="1391" w:type="dxa"/>
            <w:shd w:val="clear" w:color="auto" w:fill="FFFFFF"/>
            <w:noWrap w:val="0"/>
            <w:tcMar>
              <w:left w:w="108" w:type="dxa"/>
              <w:right w:w="108" w:type="dxa"/>
            </w:tcMar>
            <w:vAlign w:val="center"/>
          </w:tcPr>
          <w:p w14:paraId="203CB1B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3681E87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D59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E6C2B9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48</w:t>
            </w:r>
          </w:p>
        </w:tc>
        <w:tc>
          <w:tcPr>
            <w:tcW w:w="4500" w:type="dxa"/>
            <w:shd w:val="clear" w:color="auto" w:fill="FFFFFF"/>
            <w:noWrap w:val="0"/>
            <w:tcMar>
              <w:left w:w="108" w:type="dxa"/>
              <w:right w:w="108" w:type="dxa"/>
            </w:tcMar>
            <w:vAlign w:val="center"/>
          </w:tcPr>
          <w:p w14:paraId="6AE65C2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发现缺枝倒伏超过5处</w:t>
            </w:r>
          </w:p>
        </w:tc>
        <w:tc>
          <w:tcPr>
            <w:tcW w:w="1391" w:type="dxa"/>
            <w:shd w:val="clear" w:color="auto" w:fill="FFFFFF"/>
            <w:noWrap w:val="0"/>
            <w:tcMar>
              <w:left w:w="108" w:type="dxa"/>
              <w:right w:w="108" w:type="dxa"/>
            </w:tcMar>
            <w:vAlign w:val="center"/>
          </w:tcPr>
          <w:p w14:paraId="2E6A995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066450F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2BD6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286BA11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49</w:t>
            </w:r>
          </w:p>
        </w:tc>
        <w:tc>
          <w:tcPr>
            <w:tcW w:w="4500" w:type="dxa"/>
            <w:shd w:val="clear" w:color="auto" w:fill="FFFFFF"/>
            <w:noWrap w:val="0"/>
            <w:tcMar>
              <w:left w:w="108" w:type="dxa"/>
              <w:right w:w="108" w:type="dxa"/>
            </w:tcMar>
            <w:vAlign w:val="center"/>
          </w:tcPr>
          <w:p w14:paraId="4835340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路边树木有倾斜、倒伏情况的</w:t>
            </w:r>
          </w:p>
        </w:tc>
        <w:tc>
          <w:tcPr>
            <w:tcW w:w="1391" w:type="dxa"/>
            <w:shd w:val="clear" w:color="auto" w:fill="FFFFFF"/>
            <w:noWrap w:val="0"/>
            <w:tcMar>
              <w:left w:w="108" w:type="dxa"/>
              <w:right w:w="108" w:type="dxa"/>
            </w:tcMar>
            <w:vAlign w:val="center"/>
          </w:tcPr>
          <w:p w14:paraId="1BD63B0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0B4547D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C544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163A3C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w:t>
            </w:r>
          </w:p>
        </w:tc>
        <w:tc>
          <w:tcPr>
            <w:tcW w:w="4500" w:type="dxa"/>
            <w:shd w:val="clear" w:color="auto" w:fill="FFFFFF"/>
            <w:noWrap w:val="0"/>
            <w:tcMar>
              <w:left w:w="108" w:type="dxa"/>
              <w:right w:w="108" w:type="dxa"/>
            </w:tcMar>
            <w:vAlign w:val="center"/>
          </w:tcPr>
          <w:p w14:paraId="00C78E2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没做到“草地生长正常，斑秃黄萎低于5%”</w:t>
            </w:r>
          </w:p>
        </w:tc>
        <w:tc>
          <w:tcPr>
            <w:tcW w:w="1391" w:type="dxa"/>
            <w:shd w:val="clear" w:color="auto" w:fill="FFFFFF"/>
            <w:noWrap w:val="0"/>
            <w:tcMar>
              <w:left w:w="108" w:type="dxa"/>
              <w:right w:w="108" w:type="dxa"/>
            </w:tcMar>
            <w:vAlign w:val="center"/>
          </w:tcPr>
          <w:p w14:paraId="626AB0D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1BD0966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2A20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D7D549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w:t>
            </w:r>
          </w:p>
        </w:tc>
        <w:tc>
          <w:tcPr>
            <w:tcW w:w="4500" w:type="dxa"/>
            <w:shd w:val="clear" w:color="auto" w:fill="FFFFFF"/>
            <w:noWrap w:val="0"/>
            <w:tcMar>
              <w:left w:w="108" w:type="dxa"/>
              <w:right w:w="108" w:type="dxa"/>
            </w:tcMar>
            <w:vAlign w:val="center"/>
          </w:tcPr>
          <w:p w14:paraId="0DA0388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绿化未按计划养护，如修剪、栽培、打药、清扫树叶等</w:t>
            </w:r>
          </w:p>
        </w:tc>
        <w:tc>
          <w:tcPr>
            <w:tcW w:w="1391" w:type="dxa"/>
            <w:shd w:val="clear" w:color="auto" w:fill="FFFFFF"/>
            <w:noWrap w:val="0"/>
            <w:tcMar>
              <w:left w:w="108" w:type="dxa"/>
              <w:right w:w="108" w:type="dxa"/>
            </w:tcMar>
            <w:vAlign w:val="center"/>
          </w:tcPr>
          <w:p w14:paraId="76B4EC1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7775057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535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0152EB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w:t>
            </w:r>
          </w:p>
        </w:tc>
        <w:tc>
          <w:tcPr>
            <w:tcW w:w="4500" w:type="dxa"/>
            <w:shd w:val="clear" w:color="auto" w:fill="FFFFFF"/>
            <w:noWrap w:val="0"/>
            <w:tcMar>
              <w:left w:w="108" w:type="dxa"/>
              <w:right w:w="108" w:type="dxa"/>
            </w:tcMar>
            <w:vAlign w:val="center"/>
          </w:tcPr>
          <w:p w14:paraId="5F9866A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没有每年两次以上对设计使用安全的部位进行检查并有记录</w:t>
            </w:r>
          </w:p>
        </w:tc>
        <w:tc>
          <w:tcPr>
            <w:tcW w:w="1391" w:type="dxa"/>
            <w:shd w:val="clear" w:color="auto" w:fill="FFFFFF"/>
            <w:noWrap w:val="0"/>
            <w:tcMar>
              <w:left w:w="108" w:type="dxa"/>
              <w:right w:w="108" w:type="dxa"/>
            </w:tcMar>
            <w:vAlign w:val="center"/>
          </w:tcPr>
          <w:p w14:paraId="2C75E0E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451A761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08C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D9860A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w:t>
            </w:r>
          </w:p>
        </w:tc>
        <w:tc>
          <w:tcPr>
            <w:tcW w:w="4500" w:type="dxa"/>
            <w:shd w:val="clear" w:color="auto" w:fill="FFFFFF"/>
            <w:noWrap w:val="0"/>
            <w:tcMar>
              <w:left w:w="108" w:type="dxa"/>
              <w:right w:w="108" w:type="dxa"/>
            </w:tcMar>
            <w:vAlign w:val="center"/>
          </w:tcPr>
          <w:p w14:paraId="496A55D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没有每周1次巡视楼内公共部位门窗，保持玻璃、门窗配件完好，开闭正常</w:t>
            </w:r>
          </w:p>
        </w:tc>
        <w:tc>
          <w:tcPr>
            <w:tcW w:w="1391" w:type="dxa"/>
            <w:shd w:val="clear" w:color="auto" w:fill="FFFFFF"/>
            <w:noWrap w:val="0"/>
            <w:tcMar>
              <w:left w:w="108" w:type="dxa"/>
              <w:right w:w="108" w:type="dxa"/>
            </w:tcMar>
            <w:vAlign w:val="center"/>
          </w:tcPr>
          <w:p w14:paraId="528FA46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62E1BCA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45A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E6AFA3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w:t>
            </w:r>
          </w:p>
        </w:tc>
        <w:tc>
          <w:tcPr>
            <w:tcW w:w="4500" w:type="dxa"/>
            <w:shd w:val="clear" w:color="auto" w:fill="FFFFFF"/>
            <w:noWrap w:val="0"/>
            <w:tcMar>
              <w:left w:w="108" w:type="dxa"/>
              <w:right w:w="108" w:type="dxa"/>
            </w:tcMar>
            <w:vAlign w:val="center"/>
          </w:tcPr>
          <w:p w14:paraId="1E02491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没有做到每天1次检查污水泵、提升泵、排出泵，导致设备损坏或者不能正常运行。</w:t>
            </w:r>
          </w:p>
        </w:tc>
        <w:tc>
          <w:tcPr>
            <w:tcW w:w="1391" w:type="dxa"/>
            <w:shd w:val="clear" w:color="auto" w:fill="FFFFFF"/>
            <w:noWrap w:val="0"/>
            <w:tcMar>
              <w:left w:w="108" w:type="dxa"/>
              <w:right w:w="108" w:type="dxa"/>
            </w:tcMar>
            <w:vAlign w:val="center"/>
          </w:tcPr>
          <w:p w14:paraId="5381282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3640BC4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38B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954B5B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55</w:t>
            </w:r>
          </w:p>
        </w:tc>
        <w:tc>
          <w:tcPr>
            <w:tcW w:w="4500" w:type="dxa"/>
            <w:shd w:val="clear" w:color="auto" w:fill="FFFFFF"/>
            <w:noWrap w:val="0"/>
            <w:tcMar>
              <w:left w:w="108" w:type="dxa"/>
              <w:right w:w="108" w:type="dxa"/>
            </w:tcMar>
            <w:vAlign w:val="center"/>
          </w:tcPr>
          <w:p w14:paraId="275849D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没有保证污水处理系统正常运行</w:t>
            </w:r>
          </w:p>
        </w:tc>
        <w:tc>
          <w:tcPr>
            <w:tcW w:w="1391" w:type="dxa"/>
            <w:shd w:val="clear" w:color="auto" w:fill="FFFFFF"/>
            <w:noWrap w:val="0"/>
            <w:tcMar>
              <w:left w:w="108" w:type="dxa"/>
              <w:right w:w="108" w:type="dxa"/>
            </w:tcMar>
            <w:vAlign w:val="center"/>
          </w:tcPr>
          <w:p w14:paraId="4BF432C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2DD7BC4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882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4CD4DB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56</w:t>
            </w:r>
          </w:p>
        </w:tc>
        <w:tc>
          <w:tcPr>
            <w:tcW w:w="4500" w:type="dxa"/>
            <w:shd w:val="clear" w:color="auto" w:fill="FFFFFF"/>
            <w:noWrap w:val="0"/>
            <w:tcMar>
              <w:left w:w="108" w:type="dxa"/>
              <w:right w:w="108" w:type="dxa"/>
            </w:tcMar>
            <w:vAlign w:val="center"/>
          </w:tcPr>
          <w:p w14:paraId="46725E2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没有及时修复损坏的灯座、灯泡、开关等</w:t>
            </w:r>
          </w:p>
        </w:tc>
        <w:tc>
          <w:tcPr>
            <w:tcW w:w="1391" w:type="dxa"/>
            <w:shd w:val="clear" w:color="auto" w:fill="FFFFFF"/>
            <w:noWrap w:val="0"/>
            <w:tcMar>
              <w:left w:w="108" w:type="dxa"/>
              <w:right w:w="108" w:type="dxa"/>
            </w:tcMar>
            <w:vAlign w:val="center"/>
          </w:tcPr>
          <w:p w14:paraId="78DC96B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715517C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C5F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73D851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57</w:t>
            </w:r>
          </w:p>
        </w:tc>
        <w:tc>
          <w:tcPr>
            <w:tcW w:w="4500" w:type="dxa"/>
            <w:shd w:val="clear" w:color="auto" w:fill="FFFFFF"/>
            <w:noWrap w:val="0"/>
            <w:tcMar>
              <w:left w:w="108" w:type="dxa"/>
              <w:right w:w="108" w:type="dxa"/>
            </w:tcMar>
            <w:vAlign w:val="center"/>
          </w:tcPr>
          <w:p w14:paraId="0060836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没有每周1次巡查室内、室外公共电气柜</w:t>
            </w:r>
          </w:p>
        </w:tc>
        <w:tc>
          <w:tcPr>
            <w:tcW w:w="1391" w:type="dxa"/>
            <w:shd w:val="clear" w:color="auto" w:fill="FFFFFF"/>
            <w:noWrap w:val="0"/>
            <w:tcMar>
              <w:left w:w="108" w:type="dxa"/>
              <w:right w:w="108" w:type="dxa"/>
            </w:tcMar>
            <w:vAlign w:val="center"/>
          </w:tcPr>
          <w:p w14:paraId="3F6F62F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47C4497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2B29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265A827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58</w:t>
            </w:r>
          </w:p>
        </w:tc>
        <w:tc>
          <w:tcPr>
            <w:tcW w:w="4500" w:type="dxa"/>
            <w:shd w:val="clear" w:color="auto" w:fill="FFFFFF"/>
            <w:noWrap w:val="0"/>
            <w:tcMar>
              <w:left w:w="108" w:type="dxa"/>
              <w:right w:w="108" w:type="dxa"/>
            </w:tcMar>
            <w:vAlign w:val="center"/>
          </w:tcPr>
          <w:p w14:paraId="70D0EE5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没有对消防泵每月启动1次并做记录</w:t>
            </w:r>
          </w:p>
        </w:tc>
        <w:tc>
          <w:tcPr>
            <w:tcW w:w="1391" w:type="dxa"/>
            <w:shd w:val="clear" w:color="auto" w:fill="FFFFFF"/>
            <w:noWrap w:val="0"/>
            <w:tcMar>
              <w:left w:w="108" w:type="dxa"/>
              <w:right w:w="108" w:type="dxa"/>
            </w:tcMar>
            <w:vAlign w:val="center"/>
          </w:tcPr>
          <w:p w14:paraId="7C58A3B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100/次</w:t>
            </w:r>
          </w:p>
        </w:tc>
        <w:tc>
          <w:tcPr>
            <w:tcW w:w="2370" w:type="dxa"/>
            <w:shd w:val="clear" w:color="auto" w:fill="FFFFFF"/>
            <w:noWrap w:val="0"/>
            <w:tcMar>
              <w:left w:w="108" w:type="dxa"/>
              <w:right w:w="108" w:type="dxa"/>
            </w:tcMar>
            <w:vAlign w:val="center"/>
          </w:tcPr>
          <w:p w14:paraId="2205BA5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2E3D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04B37F6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59</w:t>
            </w:r>
          </w:p>
        </w:tc>
        <w:tc>
          <w:tcPr>
            <w:tcW w:w="4500" w:type="dxa"/>
            <w:shd w:val="clear" w:color="auto" w:fill="FFFFFF"/>
            <w:noWrap w:val="0"/>
            <w:tcMar>
              <w:left w:w="108" w:type="dxa"/>
              <w:right w:w="108" w:type="dxa"/>
            </w:tcMar>
            <w:vAlign w:val="center"/>
          </w:tcPr>
          <w:p w14:paraId="4C98D48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没有对消防设施进行每年保养1次，保证其运行正常，并有记录（按接管移交记录执行）。</w:t>
            </w:r>
          </w:p>
        </w:tc>
        <w:tc>
          <w:tcPr>
            <w:tcW w:w="1391" w:type="dxa"/>
            <w:shd w:val="clear" w:color="auto" w:fill="FFFFFF"/>
            <w:noWrap w:val="0"/>
            <w:tcMar>
              <w:left w:w="108" w:type="dxa"/>
              <w:right w:w="108" w:type="dxa"/>
            </w:tcMar>
            <w:vAlign w:val="center"/>
          </w:tcPr>
          <w:p w14:paraId="78B51D0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1764A5E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28A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7D0506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60</w:t>
            </w:r>
          </w:p>
        </w:tc>
        <w:tc>
          <w:tcPr>
            <w:tcW w:w="4500" w:type="dxa"/>
            <w:shd w:val="clear" w:color="auto" w:fill="FFFFFF"/>
            <w:noWrap w:val="0"/>
            <w:tcMar>
              <w:left w:w="108" w:type="dxa"/>
              <w:right w:w="108" w:type="dxa"/>
            </w:tcMar>
            <w:vAlign w:val="center"/>
          </w:tcPr>
          <w:p w14:paraId="7BC5856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在业主间散发流言影响团结的言论的</w:t>
            </w:r>
          </w:p>
        </w:tc>
        <w:tc>
          <w:tcPr>
            <w:tcW w:w="1391" w:type="dxa"/>
            <w:shd w:val="clear" w:color="auto" w:fill="FFFFFF"/>
            <w:noWrap w:val="0"/>
            <w:tcMar>
              <w:left w:w="108" w:type="dxa"/>
              <w:right w:w="108" w:type="dxa"/>
            </w:tcMar>
            <w:vAlign w:val="center"/>
          </w:tcPr>
          <w:p w14:paraId="34B953B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500/次</w:t>
            </w:r>
          </w:p>
        </w:tc>
        <w:tc>
          <w:tcPr>
            <w:tcW w:w="2370" w:type="dxa"/>
            <w:shd w:val="clear" w:color="auto" w:fill="FFFFFF"/>
            <w:noWrap w:val="0"/>
            <w:tcMar>
              <w:left w:w="108" w:type="dxa"/>
              <w:right w:w="108" w:type="dxa"/>
            </w:tcMar>
            <w:vAlign w:val="center"/>
          </w:tcPr>
          <w:p w14:paraId="7673058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FE9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20A592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w:t>
            </w:r>
          </w:p>
        </w:tc>
        <w:tc>
          <w:tcPr>
            <w:tcW w:w="4500" w:type="dxa"/>
            <w:shd w:val="clear" w:color="auto" w:fill="FFFFFF"/>
            <w:noWrap w:val="0"/>
            <w:tcMar>
              <w:left w:w="108" w:type="dxa"/>
              <w:right w:w="108" w:type="dxa"/>
            </w:tcMar>
            <w:vAlign w:val="center"/>
          </w:tcPr>
          <w:p w14:paraId="7E05A1B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没有每月检查1次灭火器，临近失效立即更新或充压</w:t>
            </w:r>
          </w:p>
        </w:tc>
        <w:tc>
          <w:tcPr>
            <w:tcW w:w="1391" w:type="dxa"/>
            <w:shd w:val="clear" w:color="auto" w:fill="FFFFFF"/>
            <w:noWrap w:val="0"/>
            <w:tcMar>
              <w:left w:w="108" w:type="dxa"/>
              <w:right w:w="108" w:type="dxa"/>
            </w:tcMar>
            <w:vAlign w:val="center"/>
          </w:tcPr>
          <w:p w14:paraId="57D2D05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500/次</w:t>
            </w:r>
          </w:p>
        </w:tc>
        <w:tc>
          <w:tcPr>
            <w:tcW w:w="2370" w:type="dxa"/>
            <w:shd w:val="clear" w:color="auto" w:fill="FFFFFF"/>
            <w:noWrap w:val="0"/>
            <w:tcMar>
              <w:left w:w="108" w:type="dxa"/>
              <w:right w:w="108" w:type="dxa"/>
            </w:tcMar>
            <w:vAlign w:val="center"/>
          </w:tcPr>
          <w:p w14:paraId="3DD86BE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0699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E93800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w:t>
            </w:r>
          </w:p>
        </w:tc>
        <w:tc>
          <w:tcPr>
            <w:tcW w:w="4500" w:type="dxa"/>
            <w:shd w:val="clear" w:color="auto" w:fill="FFFFFF"/>
            <w:noWrap w:val="0"/>
            <w:tcMar>
              <w:left w:w="108" w:type="dxa"/>
              <w:right w:w="108" w:type="dxa"/>
            </w:tcMar>
            <w:vAlign w:val="center"/>
          </w:tcPr>
          <w:p w14:paraId="622F653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没有半年检查1次消防水带、阀杆处加注润滑液</w:t>
            </w:r>
          </w:p>
        </w:tc>
        <w:tc>
          <w:tcPr>
            <w:tcW w:w="1391" w:type="dxa"/>
            <w:shd w:val="clear" w:color="auto" w:fill="FFFFFF"/>
            <w:noWrap w:val="0"/>
            <w:tcMar>
              <w:left w:w="108" w:type="dxa"/>
              <w:right w:w="108" w:type="dxa"/>
            </w:tcMar>
            <w:vAlign w:val="center"/>
          </w:tcPr>
          <w:p w14:paraId="5813C1C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300/次</w:t>
            </w:r>
          </w:p>
        </w:tc>
        <w:tc>
          <w:tcPr>
            <w:tcW w:w="2370" w:type="dxa"/>
            <w:shd w:val="clear" w:color="auto" w:fill="FFFFFF"/>
            <w:noWrap w:val="0"/>
            <w:tcMar>
              <w:left w:w="108" w:type="dxa"/>
              <w:right w:w="108" w:type="dxa"/>
            </w:tcMar>
            <w:vAlign w:val="center"/>
          </w:tcPr>
          <w:p w14:paraId="05F1B24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2F2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CE67CE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w:t>
            </w:r>
          </w:p>
        </w:tc>
        <w:tc>
          <w:tcPr>
            <w:tcW w:w="4500" w:type="dxa"/>
            <w:shd w:val="clear" w:color="auto" w:fill="FFFFFF"/>
            <w:noWrap w:val="0"/>
            <w:tcMar>
              <w:left w:w="108" w:type="dxa"/>
              <w:right w:w="108" w:type="dxa"/>
            </w:tcMar>
            <w:vAlign w:val="center"/>
          </w:tcPr>
          <w:p w14:paraId="13740D7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对各项监控设备不能24小时正常运行，未能在规定时间内及时修复的（以承接查验记录为准）。</w:t>
            </w:r>
          </w:p>
        </w:tc>
        <w:tc>
          <w:tcPr>
            <w:tcW w:w="1391" w:type="dxa"/>
            <w:shd w:val="clear" w:color="auto" w:fill="FFFFFF"/>
            <w:noWrap w:val="0"/>
            <w:tcMar>
              <w:left w:w="108" w:type="dxa"/>
              <w:right w:w="108" w:type="dxa"/>
            </w:tcMar>
            <w:vAlign w:val="center"/>
          </w:tcPr>
          <w:p w14:paraId="04052E0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275372B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39B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B311B2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64</w:t>
            </w:r>
          </w:p>
        </w:tc>
        <w:tc>
          <w:tcPr>
            <w:tcW w:w="4500" w:type="dxa"/>
            <w:shd w:val="clear" w:color="auto" w:fill="FFFFFF"/>
            <w:noWrap w:val="0"/>
            <w:tcMar>
              <w:left w:w="108" w:type="dxa"/>
              <w:right w:w="108" w:type="dxa"/>
            </w:tcMar>
            <w:vAlign w:val="center"/>
          </w:tcPr>
          <w:p w14:paraId="1C81DB2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对业主投诉的重大事项未抄送业委会</w:t>
            </w:r>
          </w:p>
        </w:tc>
        <w:tc>
          <w:tcPr>
            <w:tcW w:w="1391" w:type="dxa"/>
            <w:shd w:val="clear" w:color="auto" w:fill="FFFFFF"/>
            <w:noWrap w:val="0"/>
            <w:tcMar>
              <w:left w:w="108" w:type="dxa"/>
              <w:right w:w="108" w:type="dxa"/>
            </w:tcMar>
            <w:vAlign w:val="center"/>
          </w:tcPr>
          <w:p w14:paraId="1DA4426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2C3A03B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829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426B45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65</w:t>
            </w:r>
          </w:p>
        </w:tc>
        <w:tc>
          <w:tcPr>
            <w:tcW w:w="4500" w:type="dxa"/>
            <w:shd w:val="clear" w:color="auto" w:fill="FFFFFF"/>
            <w:noWrap w:val="0"/>
            <w:tcMar>
              <w:left w:w="108" w:type="dxa"/>
              <w:right w:w="108" w:type="dxa"/>
            </w:tcMar>
            <w:vAlign w:val="center"/>
          </w:tcPr>
          <w:p w14:paraId="708E96B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物业公司负责人无故缺席合同规定时间与业委会、业主代表举行的座谈会议的</w:t>
            </w:r>
          </w:p>
        </w:tc>
        <w:tc>
          <w:tcPr>
            <w:tcW w:w="1391" w:type="dxa"/>
            <w:shd w:val="clear" w:color="auto" w:fill="FFFFFF"/>
            <w:noWrap w:val="0"/>
            <w:tcMar>
              <w:left w:w="108" w:type="dxa"/>
              <w:right w:w="108" w:type="dxa"/>
            </w:tcMar>
            <w:vAlign w:val="center"/>
          </w:tcPr>
          <w:p w14:paraId="2EABFF2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100/次</w:t>
            </w:r>
          </w:p>
        </w:tc>
        <w:tc>
          <w:tcPr>
            <w:tcW w:w="2370" w:type="dxa"/>
            <w:shd w:val="clear" w:color="auto" w:fill="FFFFFF"/>
            <w:noWrap w:val="0"/>
            <w:tcMar>
              <w:left w:w="108" w:type="dxa"/>
              <w:right w:w="108" w:type="dxa"/>
            </w:tcMar>
            <w:vAlign w:val="center"/>
          </w:tcPr>
          <w:p w14:paraId="6B81FAF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9C5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252F37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66</w:t>
            </w:r>
          </w:p>
        </w:tc>
        <w:tc>
          <w:tcPr>
            <w:tcW w:w="4500" w:type="dxa"/>
            <w:shd w:val="clear" w:color="auto" w:fill="FFFFFF"/>
            <w:noWrap w:val="0"/>
            <w:tcMar>
              <w:left w:w="108" w:type="dxa"/>
              <w:right w:w="108" w:type="dxa"/>
            </w:tcMar>
            <w:vAlign w:val="center"/>
          </w:tcPr>
          <w:p w14:paraId="6270C3D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对业委会的书面文件没有在规定时限内书面回复</w:t>
            </w:r>
          </w:p>
        </w:tc>
        <w:tc>
          <w:tcPr>
            <w:tcW w:w="1391" w:type="dxa"/>
            <w:shd w:val="clear" w:color="auto" w:fill="FFFFFF"/>
            <w:noWrap w:val="0"/>
            <w:tcMar>
              <w:left w:w="108" w:type="dxa"/>
              <w:right w:w="108" w:type="dxa"/>
            </w:tcMar>
            <w:vAlign w:val="center"/>
          </w:tcPr>
          <w:p w14:paraId="0ABAF6A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5CA90DD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731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00893E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67</w:t>
            </w:r>
          </w:p>
        </w:tc>
        <w:tc>
          <w:tcPr>
            <w:tcW w:w="4500" w:type="dxa"/>
            <w:shd w:val="clear" w:color="auto" w:fill="FFFFFF"/>
            <w:noWrap w:val="0"/>
            <w:tcMar>
              <w:left w:w="108" w:type="dxa"/>
              <w:right w:w="108" w:type="dxa"/>
            </w:tcMar>
            <w:vAlign w:val="center"/>
          </w:tcPr>
          <w:p w14:paraId="1161368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对可预见的事件（如计划内的停水停电）没有按规定通知业主</w:t>
            </w:r>
          </w:p>
        </w:tc>
        <w:tc>
          <w:tcPr>
            <w:tcW w:w="1391" w:type="dxa"/>
            <w:shd w:val="clear" w:color="auto" w:fill="FFFFFF"/>
            <w:noWrap w:val="0"/>
            <w:tcMar>
              <w:left w:w="108" w:type="dxa"/>
              <w:right w:w="108" w:type="dxa"/>
            </w:tcMar>
            <w:vAlign w:val="center"/>
          </w:tcPr>
          <w:p w14:paraId="4275B76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222CC6C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2EF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E350F0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68</w:t>
            </w:r>
          </w:p>
        </w:tc>
        <w:tc>
          <w:tcPr>
            <w:tcW w:w="4500" w:type="dxa"/>
            <w:shd w:val="clear" w:color="auto" w:fill="FFFFFF"/>
            <w:noWrap w:val="0"/>
            <w:tcMar>
              <w:left w:w="108" w:type="dxa"/>
              <w:right w:w="108" w:type="dxa"/>
            </w:tcMar>
            <w:vAlign w:val="center"/>
          </w:tcPr>
          <w:p w14:paraId="7A298BB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物业服务管理处每天业务接待时间少于8小时</w:t>
            </w:r>
          </w:p>
        </w:tc>
        <w:tc>
          <w:tcPr>
            <w:tcW w:w="1391" w:type="dxa"/>
            <w:shd w:val="clear" w:color="auto" w:fill="FFFFFF"/>
            <w:noWrap w:val="0"/>
            <w:tcMar>
              <w:left w:w="108" w:type="dxa"/>
              <w:right w:w="108" w:type="dxa"/>
            </w:tcMar>
            <w:vAlign w:val="center"/>
          </w:tcPr>
          <w:p w14:paraId="368CCBC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268F8AB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DAA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7A5FF06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69</w:t>
            </w:r>
          </w:p>
        </w:tc>
        <w:tc>
          <w:tcPr>
            <w:tcW w:w="4500" w:type="dxa"/>
            <w:shd w:val="clear" w:color="auto" w:fill="FFFFFF"/>
            <w:noWrap w:val="0"/>
            <w:tcMar>
              <w:left w:w="108" w:type="dxa"/>
              <w:right w:w="108" w:type="dxa"/>
            </w:tcMar>
            <w:vAlign w:val="center"/>
          </w:tcPr>
          <w:p w14:paraId="2F0D394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合同到期后不按规定交接退出的</w:t>
            </w:r>
          </w:p>
        </w:tc>
        <w:tc>
          <w:tcPr>
            <w:tcW w:w="1391" w:type="dxa"/>
            <w:shd w:val="clear" w:color="auto" w:fill="FFFFFF"/>
            <w:noWrap w:val="0"/>
            <w:tcMar>
              <w:left w:w="108" w:type="dxa"/>
              <w:right w:w="108" w:type="dxa"/>
            </w:tcMar>
            <w:vAlign w:val="center"/>
          </w:tcPr>
          <w:p w14:paraId="2F5811A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扣完剩余履约保证金</w:t>
            </w:r>
          </w:p>
        </w:tc>
        <w:tc>
          <w:tcPr>
            <w:tcW w:w="2370" w:type="dxa"/>
            <w:shd w:val="clear" w:color="auto" w:fill="FFFFFF"/>
            <w:noWrap w:val="0"/>
            <w:tcMar>
              <w:left w:w="108" w:type="dxa"/>
              <w:right w:w="108" w:type="dxa"/>
            </w:tcMar>
            <w:vAlign w:val="center"/>
          </w:tcPr>
          <w:p w14:paraId="67AA4D7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D36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813C15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70</w:t>
            </w:r>
          </w:p>
        </w:tc>
        <w:tc>
          <w:tcPr>
            <w:tcW w:w="4500" w:type="dxa"/>
            <w:shd w:val="clear" w:color="auto" w:fill="FFFFFF"/>
            <w:noWrap w:val="0"/>
            <w:tcMar>
              <w:left w:w="108" w:type="dxa"/>
              <w:right w:w="108" w:type="dxa"/>
            </w:tcMar>
            <w:vAlign w:val="center"/>
          </w:tcPr>
          <w:p w14:paraId="753FB2A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侵占业主公共收益</w:t>
            </w:r>
          </w:p>
        </w:tc>
        <w:tc>
          <w:tcPr>
            <w:tcW w:w="1391" w:type="dxa"/>
            <w:shd w:val="clear" w:color="auto" w:fill="FFFFFF"/>
            <w:noWrap w:val="0"/>
            <w:tcMar>
              <w:left w:w="108" w:type="dxa"/>
              <w:right w:w="108" w:type="dxa"/>
            </w:tcMar>
            <w:vAlign w:val="center"/>
          </w:tcPr>
          <w:p w14:paraId="2A46AC9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5000/次</w:t>
            </w:r>
          </w:p>
        </w:tc>
        <w:tc>
          <w:tcPr>
            <w:tcW w:w="2370" w:type="dxa"/>
            <w:shd w:val="clear" w:color="auto" w:fill="FFFFFF"/>
            <w:noWrap w:val="0"/>
            <w:tcMar>
              <w:left w:w="108" w:type="dxa"/>
              <w:right w:w="108" w:type="dxa"/>
            </w:tcMar>
            <w:vAlign w:val="center"/>
          </w:tcPr>
          <w:p w14:paraId="3294ED5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315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2CFA363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w:t>
            </w:r>
          </w:p>
        </w:tc>
        <w:tc>
          <w:tcPr>
            <w:tcW w:w="4500" w:type="dxa"/>
            <w:shd w:val="clear" w:color="auto" w:fill="FFFFFF"/>
            <w:noWrap w:val="0"/>
            <w:tcMar>
              <w:left w:w="108" w:type="dxa"/>
              <w:right w:w="108" w:type="dxa"/>
            </w:tcMar>
            <w:vAlign w:val="center"/>
          </w:tcPr>
          <w:p w14:paraId="12F0DA0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对业委会书面要求提交技术资料，档案等复印件等拒绝提交的（入场承接查验后移交的）</w:t>
            </w:r>
          </w:p>
        </w:tc>
        <w:tc>
          <w:tcPr>
            <w:tcW w:w="1391" w:type="dxa"/>
            <w:shd w:val="clear" w:color="auto" w:fill="FFFFFF"/>
            <w:noWrap w:val="0"/>
            <w:tcMar>
              <w:left w:w="108" w:type="dxa"/>
              <w:right w:w="108" w:type="dxa"/>
            </w:tcMar>
            <w:vAlign w:val="center"/>
          </w:tcPr>
          <w:p w14:paraId="46D9D37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0A1AF6D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如该材料因保存不当遗失或者损毁，中标人全责</w:t>
            </w:r>
          </w:p>
        </w:tc>
      </w:tr>
      <w:tr w14:paraId="3669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8A0538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w:t>
            </w:r>
          </w:p>
        </w:tc>
        <w:tc>
          <w:tcPr>
            <w:tcW w:w="4500" w:type="dxa"/>
            <w:shd w:val="clear" w:color="auto" w:fill="FFFFFF"/>
            <w:noWrap w:val="0"/>
            <w:tcMar>
              <w:left w:w="108" w:type="dxa"/>
              <w:right w:w="108" w:type="dxa"/>
            </w:tcMar>
            <w:vAlign w:val="center"/>
          </w:tcPr>
          <w:p w14:paraId="468FB3F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对业委会成员进行言语人身伤害，威胁业委会成员和家属的，或者贿赂业委会成员的（业主随时监督举报留证），则按每人每次进行扣除</w:t>
            </w:r>
          </w:p>
        </w:tc>
        <w:tc>
          <w:tcPr>
            <w:tcW w:w="1391" w:type="dxa"/>
            <w:shd w:val="clear" w:color="auto" w:fill="FFFFFF"/>
            <w:noWrap w:val="0"/>
            <w:tcMar>
              <w:left w:w="108" w:type="dxa"/>
              <w:right w:w="108" w:type="dxa"/>
            </w:tcMar>
            <w:vAlign w:val="center"/>
          </w:tcPr>
          <w:p w14:paraId="3D63EA4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辞退，扣款1000元/次</w:t>
            </w:r>
          </w:p>
        </w:tc>
        <w:tc>
          <w:tcPr>
            <w:tcW w:w="2370" w:type="dxa"/>
            <w:shd w:val="clear" w:color="auto" w:fill="FFFFFF"/>
            <w:noWrap w:val="0"/>
            <w:tcMar>
              <w:left w:w="108" w:type="dxa"/>
              <w:right w:w="108" w:type="dxa"/>
            </w:tcMar>
            <w:vAlign w:val="center"/>
          </w:tcPr>
          <w:p w14:paraId="18DC278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不辞退行为当事人的，中标人违约，合同解除</w:t>
            </w:r>
          </w:p>
        </w:tc>
      </w:tr>
      <w:tr w14:paraId="079A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54620D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w:t>
            </w:r>
          </w:p>
        </w:tc>
        <w:tc>
          <w:tcPr>
            <w:tcW w:w="4500" w:type="dxa"/>
            <w:shd w:val="clear" w:color="auto" w:fill="FFFFFF"/>
            <w:noWrap w:val="0"/>
            <w:tcMar>
              <w:left w:w="108" w:type="dxa"/>
              <w:right w:w="108" w:type="dxa"/>
            </w:tcMar>
            <w:vAlign w:val="center"/>
          </w:tcPr>
          <w:p w14:paraId="564FE3D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未对单元的楼道、负一楼电梯口、楼梯扶手等，每周进行擦拭、清扫，则按每单元每次进行扣除</w:t>
            </w:r>
          </w:p>
        </w:tc>
        <w:tc>
          <w:tcPr>
            <w:tcW w:w="1391" w:type="dxa"/>
            <w:shd w:val="clear" w:color="auto" w:fill="FFFFFF"/>
            <w:noWrap w:val="0"/>
            <w:tcMar>
              <w:left w:w="108" w:type="dxa"/>
              <w:right w:w="108" w:type="dxa"/>
            </w:tcMar>
            <w:vAlign w:val="center"/>
          </w:tcPr>
          <w:p w14:paraId="748FD20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6D817D6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2959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46B4C3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74</w:t>
            </w:r>
          </w:p>
        </w:tc>
        <w:tc>
          <w:tcPr>
            <w:tcW w:w="4500" w:type="dxa"/>
            <w:shd w:val="clear" w:color="auto" w:fill="FFFFFF"/>
            <w:noWrap w:val="0"/>
            <w:tcMar>
              <w:left w:w="108" w:type="dxa"/>
              <w:right w:w="108" w:type="dxa"/>
            </w:tcMar>
            <w:vAlign w:val="center"/>
          </w:tcPr>
          <w:p w14:paraId="604A533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不配合接受业委会和第三方机构对服务质量监管</w:t>
            </w:r>
          </w:p>
        </w:tc>
        <w:tc>
          <w:tcPr>
            <w:tcW w:w="1391" w:type="dxa"/>
            <w:shd w:val="clear" w:color="auto" w:fill="FFFFFF"/>
            <w:noWrap w:val="0"/>
            <w:tcMar>
              <w:left w:w="108" w:type="dxa"/>
              <w:right w:w="108" w:type="dxa"/>
            </w:tcMar>
            <w:vAlign w:val="center"/>
          </w:tcPr>
          <w:p w14:paraId="56BDA3E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49B82D8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38C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5AE53E4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75</w:t>
            </w:r>
          </w:p>
        </w:tc>
        <w:tc>
          <w:tcPr>
            <w:tcW w:w="4500" w:type="dxa"/>
            <w:shd w:val="clear" w:color="auto" w:fill="FFFFFF"/>
            <w:noWrap w:val="0"/>
            <w:tcMar>
              <w:left w:w="108" w:type="dxa"/>
              <w:right w:w="108" w:type="dxa"/>
            </w:tcMar>
            <w:vAlign w:val="center"/>
          </w:tcPr>
          <w:p w14:paraId="321FAEA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不配合接受业委会和第三方机构对财务的监管</w:t>
            </w:r>
          </w:p>
        </w:tc>
        <w:tc>
          <w:tcPr>
            <w:tcW w:w="1391" w:type="dxa"/>
            <w:shd w:val="clear" w:color="auto" w:fill="FFFFFF"/>
            <w:noWrap w:val="0"/>
            <w:tcMar>
              <w:left w:w="108" w:type="dxa"/>
              <w:right w:w="108" w:type="dxa"/>
            </w:tcMar>
            <w:vAlign w:val="center"/>
          </w:tcPr>
          <w:p w14:paraId="1E6ED67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54813A5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3DC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F6D76B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76</w:t>
            </w:r>
          </w:p>
        </w:tc>
        <w:tc>
          <w:tcPr>
            <w:tcW w:w="4500" w:type="dxa"/>
            <w:shd w:val="clear" w:color="auto" w:fill="FFFFFF"/>
            <w:noWrap w:val="0"/>
            <w:tcMar>
              <w:left w:w="108" w:type="dxa"/>
              <w:right w:w="108" w:type="dxa"/>
            </w:tcMar>
            <w:vAlign w:val="center"/>
          </w:tcPr>
          <w:p w14:paraId="30FDF7F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未按合同约定报送月财务开支明细报表</w:t>
            </w:r>
          </w:p>
        </w:tc>
        <w:tc>
          <w:tcPr>
            <w:tcW w:w="1391" w:type="dxa"/>
            <w:shd w:val="clear" w:color="auto" w:fill="FFFFFF"/>
            <w:noWrap w:val="0"/>
            <w:tcMar>
              <w:left w:w="108" w:type="dxa"/>
              <w:right w:w="108" w:type="dxa"/>
            </w:tcMar>
            <w:vAlign w:val="center"/>
          </w:tcPr>
          <w:p w14:paraId="7324B9E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3430FA3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082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0F75C16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77</w:t>
            </w:r>
          </w:p>
        </w:tc>
        <w:tc>
          <w:tcPr>
            <w:tcW w:w="4500" w:type="dxa"/>
            <w:shd w:val="clear" w:color="auto" w:fill="FFFFFF"/>
            <w:noWrap w:val="0"/>
            <w:tcMar>
              <w:left w:w="108" w:type="dxa"/>
              <w:right w:w="108" w:type="dxa"/>
            </w:tcMar>
            <w:vAlign w:val="center"/>
          </w:tcPr>
          <w:p w14:paraId="5DE8AC5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不主动向业委会或第三方机构报送员工异动情况</w:t>
            </w:r>
          </w:p>
        </w:tc>
        <w:tc>
          <w:tcPr>
            <w:tcW w:w="1391" w:type="dxa"/>
            <w:shd w:val="clear" w:color="auto" w:fill="FFFFFF"/>
            <w:noWrap w:val="0"/>
            <w:tcMar>
              <w:left w:w="108" w:type="dxa"/>
              <w:right w:w="108" w:type="dxa"/>
            </w:tcMar>
            <w:vAlign w:val="center"/>
          </w:tcPr>
          <w:p w14:paraId="6DED494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100/次</w:t>
            </w:r>
          </w:p>
        </w:tc>
        <w:tc>
          <w:tcPr>
            <w:tcW w:w="2370" w:type="dxa"/>
            <w:shd w:val="clear" w:color="auto" w:fill="FFFFFF"/>
            <w:noWrap w:val="0"/>
            <w:tcMar>
              <w:left w:w="108" w:type="dxa"/>
              <w:right w:w="108" w:type="dxa"/>
            </w:tcMar>
            <w:vAlign w:val="center"/>
          </w:tcPr>
          <w:p w14:paraId="37A1B81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BEA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181B39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78</w:t>
            </w:r>
          </w:p>
        </w:tc>
        <w:tc>
          <w:tcPr>
            <w:tcW w:w="4500" w:type="dxa"/>
            <w:shd w:val="clear" w:color="auto" w:fill="FFFFFF"/>
            <w:noWrap w:val="0"/>
            <w:tcMar>
              <w:left w:w="108" w:type="dxa"/>
              <w:right w:w="108" w:type="dxa"/>
            </w:tcMar>
            <w:vAlign w:val="center"/>
          </w:tcPr>
          <w:p w14:paraId="68B7922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不配合接受业委会或第三方机构对人事的监管</w:t>
            </w:r>
          </w:p>
        </w:tc>
        <w:tc>
          <w:tcPr>
            <w:tcW w:w="1391" w:type="dxa"/>
            <w:shd w:val="clear" w:color="auto" w:fill="FFFFFF"/>
            <w:noWrap w:val="0"/>
            <w:tcMar>
              <w:left w:w="108" w:type="dxa"/>
              <w:right w:w="108" w:type="dxa"/>
            </w:tcMar>
            <w:vAlign w:val="center"/>
          </w:tcPr>
          <w:p w14:paraId="776DACD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100/次</w:t>
            </w:r>
          </w:p>
        </w:tc>
        <w:tc>
          <w:tcPr>
            <w:tcW w:w="2370" w:type="dxa"/>
            <w:shd w:val="clear" w:color="auto" w:fill="FFFFFF"/>
            <w:noWrap w:val="0"/>
            <w:tcMar>
              <w:left w:w="108" w:type="dxa"/>
              <w:right w:w="108" w:type="dxa"/>
            </w:tcMar>
            <w:vAlign w:val="center"/>
          </w:tcPr>
          <w:p w14:paraId="18F80DA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8F1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028E93B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79</w:t>
            </w:r>
          </w:p>
        </w:tc>
        <w:tc>
          <w:tcPr>
            <w:tcW w:w="4500" w:type="dxa"/>
            <w:shd w:val="clear" w:color="auto" w:fill="FFFFFF"/>
            <w:noWrap w:val="0"/>
            <w:tcMar>
              <w:left w:w="108" w:type="dxa"/>
              <w:right w:w="108" w:type="dxa"/>
            </w:tcMar>
            <w:vAlign w:val="center"/>
          </w:tcPr>
          <w:p w14:paraId="0916D50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对业委会和第三方机构提供名单后，经业委会的要求更换违法违规员工而拒不执行的</w:t>
            </w:r>
          </w:p>
        </w:tc>
        <w:tc>
          <w:tcPr>
            <w:tcW w:w="1391" w:type="dxa"/>
            <w:shd w:val="clear" w:color="auto" w:fill="FFFFFF"/>
            <w:noWrap w:val="0"/>
            <w:tcMar>
              <w:left w:w="108" w:type="dxa"/>
              <w:right w:w="108" w:type="dxa"/>
            </w:tcMar>
            <w:vAlign w:val="center"/>
          </w:tcPr>
          <w:p w14:paraId="54F0B6B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1000/次</w:t>
            </w:r>
          </w:p>
        </w:tc>
        <w:tc>
          <w:tcPr>
            <w:tcW w:w="2370" w:type="dxa"/>
            <w:shd w:val="clear" w:color="auto" w:fill="FFFFFF"/>
            <w:noWrap w:val="0"/>
            <w:tcMar>
              <w:left w:w="108" w:type="dxa"/>
              <w:right w:w="108" w:type="dxa"/>
            </w:tcMar>
            <w:vAlign w:val="center"/>
          </w:tcPr>
          <w:p w14:paraId="51A4527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合同解除</w:t>
            </w:r>
          </w:p>
        </w:tc>
      </w:tr>
      <w:tr w14:paraId="092A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40" w:hRule="atLeast"/>
          <w:jc w:val="center"/>
        </w:trPr>
        <w:tc>
          <w:tcPr>
            <w:tcW w:w="678" w:type="dxa"/>
            <w:shd w:val="clear" w:color="auto" w:fill="FFFFFF"/>
            <w:noWrap w:val="0"/>
            <w:tcMar>
              <w:left w:w="108" w:type="dxa"/>
              <w:right w:w="108" w:type="dxa"/>
            </w:tcMar>
            <w:vAlign w:val="center"/>
          </w:tcPr>
          <w:p w14:paraId="6E0C46E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80</w:t>
            </w:r>
          </w:p>
        </w:tc>
        <w:tc>
          <w:tcPr>
            <w:tcW w:w="4500" w:type="dxa"/>
            <w:shd w:val="clear" w:color="auto" w:fill="FFFFFF"/>
            <w:noWrap w:val="0"/>
            <w:tcMar>
              <w:left w:w="108" w:type="dxa"/>
              <w:right w:w="108" w:type="dxa"/>
            </w:tcMar>
            <w:vAlign w:val="center"/>
          </w:tcPr>
          <w:p w14:paraId="13FA4E2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私自利用小区公共资源签订营利性协议的，应解除相应协议，转交业委会处理，并按每项扣除</w:t>
            </w:r>
          </w:p>
        </w:tc>
        <w:tc>
          <w:tcPr>
            <w:tcW w:w="1391" w:type="dxa"/>
            <w:shd w:val="clear" w:color="auto" w:fill="FFFFFF"/>
            <w:noWrap w:val="0"/>
            <w:tcMar>
              <w:left w:w="108" w:type="dxa"/>
              <w:right w:w="108" w:type="dxa"/>
            </w:tcMar>
            <w:vAlign w:val="center"/>
          </w:tcPr>
          <w:p w14:paraId="39D8259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397C8C8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492D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0137803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81</w:t>
            </w:r>
          </w:p>
        </w:tc>
        <w:tc>
          <w:tcPr>
            <w:tcW w:w="4500" w:type="dxa"/>
            <w:shd w:val="clear" w:color="auto" w:fill="FFFFFF"/>
            <w:noWrap w:val="0"/>
            <w:tcMar>
              <w:left w:w="108" w:type="dxa"/>
              <w:right w:w="108" w:type="dxa"/>
            </w:tcMar>
            <w:vAlign w:val="center"/>
          </w:tcPr>
          <w:p w14:paraId="37C238A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业委会不定期随机抽查中标人岗位在岗人员，与投标文件不符且未在业委会报备并未在业主群公示变更的</w:t>
            </w:r>
          </w:p>
        </w:tc>
        <w:tc>
          <w:tcPr>
            <w:tcW w:w="1391" w:type="dxa"/>
            <w:shd w:val="clear" w:color="auto" w:fill="FFFFFF"/>
            <w:noWrap w:val="0"/>
            <w:tcMar>
              <w:left w:w="108" w:type="dxa"/>
              <w:right w:w="108" w:type="dxa"/>
            </w:tcMar>
            <w:vAlign w:val="center"/>
          </w:tcPr>
          <w:p w14:paraId="19E0559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（1）关键岗1000/次</w:t>
            </w:r>
          </w:p>
          <w:p w14:paraId="44AEB58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（2）普通岗500/次</w:t>
            </w:r>
          </w:p>
        </w:tc>
        <w:tc>
          <w:tcPr>
            <w:tcW w:w="2370" w:type="dxa"/>
            <w:shd w:val="clear" w:color="auto" w:fill="FFFFFF"/>
            <w:noWrap w:val="0"/>
            <w:tcMar>
              <w:left w:w="108" w:type="dxa"/>
              <w:right w:w="108" w:type="dxa"/>
            </w:tcMar>
            <w:vAlign w:val="center"/>
          </w:tcPr>
          <w:p w14:paraId="57BE711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（1）关键岗被更换，人员若无岗位要求必备资质的，15个日历天之内整改为符合要求的人员。</w:t>
            </w:r>
          </w:p>
          <w:p w14:paraId="7098FC0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（2）普通岗被更换，人员若无岗位要求必备条件的，30个日历天之内整改为符合要求的人员。</w:t>
            </w:r>
          </w:p>
          <w:p w14:paraId="36CF7F5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以上超期整改，合同终止。</w:t>
            </w:r>
          </w:p>
        </w:tc>
      </w:tr>
      <w:tr w14:paraId="5836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E9CB5F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82</w:t>
            </w:r>
          </w:p>
        </w:tc>
        <w:tc>
          <w:tcPr>
            <w:tcW w:w="4500" w:type="dxa"/>
            <w:shd w:val="clear" w:color="auto" w:fill="FFFFFF"/>
            <w:noWrap w:val="0"/>
            <w:tcMar>
              <w:left w:w="108" w:type="dxa"/>
              <w:right w:w="108" w:type="dxa"/>
            </w:tcMar>
            <w:vAlign w:val="center"/>
          </w:tcPr>
          <w:p w14:paraId="16FEEE0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未按合同约定公示相关数据的</w:t>
            </w:r>
          </w:p>
        </w:tc>
        <w:tc>
          <w:tcPr>
            <w:tcW w:w="1391" w:type="dxa"/>
            <w:shd w:val="clear" w:color="auto" w:fill="FFFFFF"/>
            <w:noWrap w:val="0"/>
            <w:tcMar>
              <w:left w:w="108" w:type="dxa"/>
              <w:right w:w="108" w:type="dxa"/>
            </w:tcMar>
            <w:vAlign w:val="center"/>
          </w:tcPr>
          <w:p w14:paraId="32431ED6">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100/次</w:t>
            </w:r>
          </w:p>
        </w:tc>
        <w:tc>
          <w:tcPr>
            <w:tcW w:w="2370" w:type="dxa"/>
            <w:shd w:val="clear" w:color="auto" w:fill="FFFFFF"/>
            <w:noWrap w:val="0"/>
            <w:tcMar>
              <w:left w:w="108" w:type="dxa"/>
              <w:right w:w="108" w:type="dxa"/>
            </w:tcMar>
            <w:vAlign w:val="center"/>
          </w:tcPr>
          <w:p w14:paraId="48078EF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565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2C4429A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83</w:t>
            </w:r>
          </w:p>
        </w:tc>
        <w:tc>
          <w:tcPr>
            <w:tcW w:w="4500" w:type="dxa"/>
            <w:shd w:val="clear" w:color="auto" w:fill="FFFFFF"/>
            <w:noWrap w:val="0"/>
            <w:tcMar>
              <w:left w:w="108" w:type="dxa"/>
              <w:right w:w="108" w:type="dxa"/>
            </w:tcMar>
            <w:vAlign w:val="center"/>
          </w:tcPr>
          <w:p w14:paraId="2DA3A38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没保证电梯24小时运行，轿厢内按钮、灯具等配件保持完好，轿厢整洁，定期消毒，则按每台每次进行处扣除</w:t>
            </w:r>
          </w:p>
        </w:tc>
        <w:tc>
          <w:tcPr>
            <w:tcW w:w="1391" w:type="dxa"/>
            <w:shd w:val="clear" w:color="auto" w:fill="FFFFFF"/>
            <w:noWrap w:val="0"/>
            <w:tcMar>
              <w:left w:w="108" w:type="dxa"/>
              <w:right w:w="108" w:type="dxa"/>
            </w:tcMar>
            <w:vAlign w:val="center"/>
          </w:tcPr>
          <w:p w14:paraId="38FDFC4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50/次</w:t>
            </w:r>
          </w:p>
        </w:tc>
        <w:tc>
          <w:tcPr>
            <w:tcW w:w="2370" w:type="dxa"/>
            <w:shd w:val="clear" w:color="auto" w:fill="FFFFFF"/>
            <w:noWrap w:val="0"/>
            <w:tcMar>
              <w:left w:w="108" w:type="dxa"/>
              <w:right w:w="108" w:type="dxa"/>
            </w:tcMar>
            <w:vAlign w:val="center"/>
          </w:tcPr>
          <w:p w14:paraId="635B347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D2C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E79721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84</w:t>
            </w:r>
          </w:p>
        </w:tc>
        <w:tc>
          <w:tcPr>
            <w:tcW w:w="4500" w:type="dxa"/>
            <w:shd w:val="clear" w:color="auto" w:fill="FFFFFF"/>
            <w:noWrap w:val="0"/>
            <w:tcMar>
              <w:left w:w="108" w:type="dxa"/>
              <w:right w:w="108" w:type="dxa"/>
            </w:tcMar>
            <w:vAlign w:val="center"/>
          </w:tcPr>
          <w:p w14:paraId="3FD1FF2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电梯发生一般故障的，专业维修人员没能在两小时到达现场修理，则按每台每次进行扣除</w:t>
            </w:r>
          </w:p>
        </w:tc>
        <w:tc>
          <w:tcPr>
            <w:tcW w:w="1391" w:type="dxa"/>
            <w:shd w:val="clear" w:color="auto" w:fill="FFFFFF"/>
            <w:noWrap w:val="0"/>
            <w:tcMar>
              <w:left w:w="108" w:type="dxa"/>
              <w:right w:w="108" w:type="dxa"/>
            </w:tcMar>
            <w:vAlign w:val="center"/>
          </w:tcPr>
          <w:p w14:paraId="5329BE7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100/次</w:t>
            </w:r>
          </w:p>
        </w:tc>
        <w:tc>
          <w:tcPr>
            <w:tcW w:w="2370" w:type="dxa"/>
            <w:shd w:val="clear" w:color="auto" w:fill="FFFFFF"/>
            <w:noWrap w:val="0"/>
            <w:tcMar>
              <w:left w:w="108" w:type="dxa"/>
              <w:right w:w="108" w:type="dxa"/>
            </w:tcMar>
            <w:vAlign w:val="center"/>
          </w:tcPr>
          <w:p w14:paraId="237782FE">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21D9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59FE5B8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85</w:t>
            </w:r>
          </w:p>
        </w:tc>
        <w:tc>
          <w:tcPr>
            <w:tcW w:w="4500" w:type="dxa"/>
            <w:shd w:val="clear" w:color="auto" w:fill="FFFFFF"/>
            <w:noWrap w:val="0"/>
            <w:tcMar>
              <w:left w:w="108" w:type="dxa"/>
              <w:right w:w="108" w:type="dxa"/>
            </w:tcMar>
            <w:vAlign w:val="center"/>
          </w:tcPr>
          <w:p w14:paraId="6241517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发生电梯困人或其他重大事件时，物业管理人员没在15分钟内到达现场</w:t>
            </w:r>
          </w:p>
        </w:tc>
        <w:tc>
          <w:tcPr>
            <w:tcW w:w="1391" w:type="dxa"/>
            <w:shd w:val="clear" w:color="auto" w:fill="FFFFFF"/>
            <w:noWrap w:val="0"/>
            <w:tcMar>
              <w:left w:w="108" w:type="dxa"/>
              <w:right w:w="108" w:type="dxa"/>
            </w:tcMar>
            <w:vAlign w:val="center"/>
          </w:tcPr>
          <w:p w14:paraId="67B633A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500/次</w:t>
            </w:r>
          </w:p>
        </w:tc>
        <w:tc>
          <w:tcPr>
            <w:tcW w:w="2370" w:type="dxa"/>
            <w:shd w:val="clear" w:color="auto" w:fill="FFFFFF"/>
            <w:noWrap w:val="0"/>
            <w:tcMar>
              <w:left w:w="108" w:type="dxa"/>
              <w:right w:w="108" w:type="dxa"/>
            </w:tcMar>
            <w:vAlign w:val="center"/>
          </w:tcPr>
          <w:p w14:paraId="482C2E6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06D0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2FF1C8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86</w:t>
            </w:r>
          </w:p>
        </w:tc>
        <w:tc>
          <w:tcPr>
            <w:tcW w:w="4500" w:type="dxa"/>
            <w:shd w:val="clear" w:color="auto" w:fill="FFFFFF"/>
            <w:noWrap w:val="0"/>
            <w:tcMar>
              <w:left w:w="108" w:type="dxa"/>
              <w:right w:w="108" w:type="dxa"/>
            </w:tcMar>
            <w:vAlign w:val="center"/>
          </w:tcPr>
          <w:p w14:paraId="77DB5CC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雨天时，应每天两次对电梯井进行巡检，其他时间每星期两次，并有巡检记录。对电梯井有积水，有垃圾，未及时处理，则按每台每次进行扣除</w:t>
            </w:r>
          </w:p>
        </w:tc>
        <w:tc>
          <w:tcPr>
            <w:tcW w:w="1391" w:type="dxa"/>
            <w:shd w:val="clear" w:color="auto" w:fill="FFFFFF"/>
            <w:noWrap w:val="0"/>
            <w:tcMar>
              <w:left w:w="108" w:type="dxa"/>
              <w:right w:w="108" w:type="dxa"/>
            </w:tcMar>
            <w:vAlign w:val="center"/>
          </w:tcPr>
          <w:p w14:paraId="7049C48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2FB0A63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F6E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CF05FB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87</w:t>
            </w:r>
          </w:p>
        </w:tc>
        <w:tc>
          <w:tcPr>
            <w:tcW w:w="4500" w:type="dxa"/>
            <w:shd w:val="clear" w:color="auto" w:fill="FFFFFF"/>
            <w:noWrap w:val="0"/>
            <w:tcMar>
              <w:left w:w="108" w:type="dxa"/>
              <w:right w:w="108" w:type="dxa"/>
            </w:tcMar>
            <w:vAlign w:val="center"/>
          </w:tcPr>
          <w:p w14:paraId="6CA2258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电梯未按要求年检的，每台每年进行扣除（根据交接实际情况执行）</w:t>
            </w:r>
          </w:p>
        </w:tc>
        <w:tc>
          <w:tcPr>
            <w:tcW w:w="1391" w:type="dxa"/>
            <w:shd w:val="clear" w:color="auto" w:fill="FFFFFF"/>
            <w:noWrap w:val="0"/>
            <w:tcMar>
              <w:left w:w="108" w:type="dxa"/>
              <w:right w:w="108" w:type="dxa"/>
            </w:tcMar>
            <w:vAlign w:val="center"/>
          </w:tcPr>
          <w:p w14:paraId="5188632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1000/次</w:t>
            </w:r>
          </w:p>
        </w:tc>
        <w:tc>
          <w:tcPr>
            <w:tcW w:w="2370" w:type="dxa"/>
            <w:shd w:val="clear" w:color="auto" w:fill="FFFFFF"/>
            <w:noWrap w:val="0"/>
            <w:tcMar>
              <w:left w:w="108" w:type="dxa"/>
              <w:right w:w="108" w:type="dxa"/>
            </w:tcMar>
            <w:vAlign w:val="center"/>
          </w:tcPr>
          <w:p w14:paraId="7BCB42D8">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2A80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6211FDD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88</w:t>
            </w:r>
          </w:p>
        </w:tc>
        <w:tc>
          <w:tcPr>
            <w:tcW w:w="4500" w:type="dxa"/>
            <w:shd w:val="clear" w:color="auto" w:fill="FFFFFF"/>
            <w:noWrap w:val="0"/>
            <w:tcMar>
              <w:left w:w="108" w:type="dxa"/>
              <w:right w:w="108" w:type="dxa"/>
            </w:tcMar>
            <w:vAlign w:val="center"/>
          </w:tcPr>
          <w:p w14:paraId="3F9B80D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电梯配件被盗或配件损坏时，拆借其他电梯配件来使用，则按每台每次进行扣除</w:t>
            </w:r>
          </w:p>
        </w:tc>
        <w:tc>
          <w:tcPr>
            <w:tcW w:w="1391" w:type="dxa"/>
            <w:shd w:val="clear" w:color="auto" w:fill="FFFFFF"/>
            <w:noWrap w:val="0"/>
            <w:tcMar>
              <w:left w:w="108" w:type="dxa"/>
              <w:right w:w="108" w:type="dxa"/>
            </w:tcMar>
            <w:vAlign w:val="center"/>
          </w:tcPr>
          <w:p w14:paraId="4B16788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1000/次</w:t>
            </w:r>
          </w:p>
        </w:tc>
        <w:tc>
          <w:tcPr>
            <w:tcW w:w="2370" w:type="dxa"/>
            <w:shd w:val="clear" w:color="auto" w:fill="FFFFFF"/>
            <w:noWrap w:val="0"/>
            <w:tcMar>
              <w:left w:w="108" w:type="dxa"/>
              <w:right w:w="108" w:type="dxa"/>
            </w:tcMar>
            <w:vAlign w:val="center"/>
          </w:tcPr>
          <w:p w14:paraId="01EAE5F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C56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678" w:type="dxa"/>
            <w:shd w:val="clear" w:color="auto" w:fill="FFFFFF"/>
            <w:noWrap w:val="0"/>
            <w:tcMar>
              <w:left w:w="108" w:type="dxa"/>
              <w:right w:w="108" w:type="dxa"/>
            </w:tcMar>
            <w:vAlign w:val="center"/>
          </w:tcPr>
          <w:p w14:paraId="7FCB4FA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89</w:t>
            </w:r>
          </w:p>
        </w:tc>
        <w:tc>
          <w:tcPr>
            <w:tcW w:w="4500" w:type="dxa"/>
            <w:shd w:val="clear" w:color="auto" w:fill="FFFFFF"/>
            <w:noWrap w:val="0"/>
            <w:tcMar>
              <w:left w:w="108" w:type="dxa"/>
              <w:right w:w="108" w:type="dxa"/>
            </w:tcMar>
            <w:vAlign w:val="center"/>
          </w:tcPr>
          <w:p w14:paraId="5DE2882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电梯日常故障维修周期超过一天的</w:t>
            </w:r>
          </w:p>
        </w:tc>
        <w:tc>
          <w:tcPr>
            <w:tcW w:w="1391" w:type="dxa"/>
            <w:shd w:val="clear" w:color="auto" w:fill="FFFFFF"/>
            <w:noWrap w:val="0"/>
            <w:tcMar>
              <w:left w:w="108" w:type="dxa"/>
              <w:right w:w="108" w:type="dxa"/>
            </w:tcMar>
            <w:vAlign w:val="center"/>
          </w:tcPr>
          <w:p w14:paraId="2523F6A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200/次</w:t>
            </w:r>
          </w:p>
        </w:tc>
        <w:tc>
          <w:tcPr>
            <w:tcW w:w="2370" w:type="dxa"/>
            <w:shd w:val="clear" w:color="auto" w:fill="FFFFFF"/>
            <w:noWrap w:val="0"/>
            <w:tcMar>
              <w:left w:w="108" w:type="dxa"/>
              <w:right w:w="108" w:type="dxa"/>
            </w:tcMar>
            <w:vAlign w:val="center"/>
          </w:tcPr>
          <w:p w14:paraId="1AD8AF2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因厂家配件定制延期的除外</w:t>
            </w:r>
          </w:p>
        </w:tc>
      </w:tr>
      <w:tr w14:paraId="1CB5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4D100B9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90</w:t>
            </w:r>
          </w:p>
        </w:tc>
        <w:tc>
          <w:tcPr>
            <w:tcW w:w="4500" w:type="dxa"/>
            <w:shd w:val="clear" w:color="auto" w:fill="FFFFFF"/>
            <w:noWrap w:val="0"/>
            <w:tcMar>
              <w:left w:w="108" w:type="dxa"/>
              <w:right w:w="108" w:type="dxa"/>
            </w:tcMar>
            <w:vAlign w:val="center"/>
          </w:tcPr>
          <w:p w14:paraId="74BF1D1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物业服务人员在本小区拾金不昧的</w:t>
            </w:r>
          </w:p>
        </w:tc>
        <w:tc>
          <w:tcPr>
            <w:tcW w:w="1391" w:type="dxa"/>
            <w:shd w:val="clear" w:color="auto" w:fill="FFFFFF"/>
            <w:noWrap w:val="0"/>
            <w:tcMar>
              <w:left w:w="108" w:type="dxa"/>
              <w:right w:w="108" w:type="dxa"/>
            </w:tcMar>
            <w:vAlign w:val="center"/>
          </w:tcPr>
          <w:p w14:paraId="3F013A7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奖励200/次</w:t>
            </w:r>
          </w:p>
        </w:tc>
        <w:tc>
          <w:tcPr>
            <w:tcW w:w="2370" w:type="dxa"/>
            <w:shd w:val="clear" w:color="auto" w:fill="FFFFFF"/>
            <w:noWrap w:val="0"/>
            <w:tcMar>
              <w:left w:w="108" w:type="dxa"/>
              <w:right w:w="108" w:type="dxa"/>
            </w:tcMar>
            <w:vAlign w:val="center"/>
          </w:tcPr>
          <w:p w14:paraId="7320ABE3">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物品价值及现金1000元以上的，由公共收益支出</w:t>
            </w:r>
          </w:p>
        </w:tc>
      </w:tr>
      <w:tr w14:paraId="2A7B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315AED99">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91</w:t>
            </w:r>
          </w:p>
        </w:tc>
        <w:tc>
          <w:tcPr>
            <w:tcW w:w="4500" w:type="dxa"/>
            <w:shd w:val="clear" w:color="auto" w:fill="FFFFFF"/>
            <w:noWrap w:val="0"/>
            <w:tcMar>
              <w:left w:w="108" w:type="dxa"/>
              <w:right w:w="108" w:type="dxa"/>
            </w:tcMar>
            <w:vAlign w:val="center"/>
          </w:tcPr>
          <w:p w14:paraId="4A09D8E2">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物业服务人员在本小区见义勇为，被政府认定的</w:t>
            </w:r>
          </w:p>
        </w:tc>
        <w:tc>
          <w:tcPr>
            <w:tcW w:w="1391" w:type="dxa"/>
            <w:shd w:val="clear" w:color="auto" w:fill="FFFFFF"/>
            <w:noWrap w:val="0"/>
            <w:tcMar>
              <w:left w:w="108" w:type="dxa"/>
              <w:right w:w="108" w:type="dxa"/>
            </w:tcMar>
            <w:vAlign w:val="center"/>
          </w:tcPr>
          <w:p w14:paraId="388681F0">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奖励2000/次</w:t>
            </w:r>
          </w:p>
        </w:tc>
        <w:tc>
          <w:tcPr>
            <w:tcW w:w="2370" w:type="dxa"/>
            <w:shd w:val="clear" w:color="auto" w:fill="FFFFFF"/>
            <w:noWrap w:val="0"/>
            <w:tcMar>
              <w:left w:w="108" w:type="dxa"/>
              <w:right w:w="108" w:type="dxa"/>
            </w:tcMar>
            <w:vAlign w:val="center"/>
          </w:tcPr>
          <w:p w14:paraId="0A038E97">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由公共收益支出</w:t>
            </w:r>
          </w:p>
        </w:tc>
      </w:tr>
      <w:tr w14:paraId="7DB8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5C692C14">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92</w:t>
            </w:r>
          </w:p>
        </w:tc>
        <w:tc>
          <w:tcPr>
            <w:tcW w:w="4500" w:type="dxa"/>
            <w:shd w:val="clear" w:color="auto" w:fill="FFFFFF"/>
            <w:noWrap w:val="0"/>
            <w:tcMar>
              <w:left w:w="108" w:type="dxa"/>
              <w:right w:w="108" w:type="dxa"/>
            </w:tcMar>
            <w:vAlign w:val="center"/>
          </w:tcPr>
          <w:p w14:paraId="3343FF11">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本小区因中标人管理优秀获得市级表彰</w:t>
            </w:r>
          </w:p>
        </w:tc>
        <w:tc>
          <w:tcPr>
            <w:tcW w:w="1391" w:type="dxa"/>
            <w:shd w:val="clear" w:color="auto" w:fill="FFFFFF"/>
            <w:noWrap w:val="0"/>
            <w:tcMar>
              <w:left w:w="108" w:type="dxa"/>
              <w:right w:w="108" w:type="dxa"/>
            </w:tcMar>
            <w:vAlign w:val="center"/>
          </w:tcPr>
          <w:p w14:paraId="2DBD6D1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奖励1000</w:t>
            </w:r>
          </w:p>
        </w:tc>
        <w:tc>
          <w:tcPr>
            <w:tcW w:w="2370" w:type="dxa"/>
            <w:shd w:val="clear" w:color="auto" w:fill="FFFFFF"/>
            <w:noWrap w:val="0"/>
            <w:tcMar>
              <w:left w:w="108" w:type="dxa"/>
              <w:right w:w="108" w:type="dxa"/>
            </w:tcMar>
            <w:vAlign w:val="center"/>
          </w:tcPr>
          <w:p w14:paraId="172C12D5">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由公共收益支出</w:t>
            </w:r>
          </w:p>
        </w:tc>
      </w:tr>
      <w:tr w14:paraId="5633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229F17D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93</w:t>
            </w:r>
          </w:p>
        </w:tc>
        <w:tc>
          <w:tcPr>
            <w:tcW w:w="4500" w:type="dxa"/>
            <w:shd w:val="clear" w:color="auto" w:fill="FFFFFF"/>
            <w:noWrap w:val="0"/>
            <w:tcMar>
              <w:left w:w="108" w:type="dxa"/>
              <w:right w:w="108" w:type="dxa"/>
            </w:tcMar>
            <w:vAlign w:val="center"/>
          </w:tcPr>
          <w:p w14:paraId="2742E47D">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本小区因中标人管理优秀获得省级表彰</w:t>
            </w:r>
          </w:p>
        </w:tc>
        <w:tc>
          <w:tcPr>
            <w:tcW w:w="1391" w:type="dxa"/>
            <w:shd w:val="clear" w:color="auto" w:fill="FFFFFF"/>
            <w:noWrap w:val="0"/>
            <w:tcMar>
              <w:left w:w="108" w:type="dxa"/>
              <w:right w:w="108" w:type="dxa"/>
            </w:tcMar>
            <w:vAlign w:val="center"/>
          </w:tcPr>
          <w:p w14:paraId="2ECFA83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奖励2000</w:t>
            </w:r>
          </w:p>
        </w:tc>
        <w:tc>
          <w:tcPr>
            <w:tcW w:w="2370" w:type="dxa"/>
            <w:shd w:val="clear" w:color="auto" w:fill="FFFFFF"/>
            <w:noWrap w:val="0"/>
            <w:tcMar>
              <w:left w:w="108" w:type="dxa"/>
              <w:right w:w="108" w:type="dxa"/>
            </w:tcMar>
            <w:vAlign w:val="center"/>
          </w:tcPr>
          <w:p w14:paraId="46BC935B">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由公共收益支出</w:t>
            </w:r>
          </w:p>
        </w:tc>
      </w:tr>
      <w:tr w14:paraId="7780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678" w:type="dxa"/>
            <w:shd w:val="clear" w:color="auto" w:fill="FFFFFF"/>
            <w:noWrap w:val="0"/>
            <w:tcMar>
              <w:left w:w="108" w:type="dxa"/>
              <w:right w:w="108" w:type="dxa"/>
            </w:tcMar>
            <w:vAlign w:val="center"/>
          </w:tcPr>
          <w:p w14:paraId="1239BAB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94</w:t>
            </w:r>
          </w:p>
        </w:tc>
        <w:tc>
          <w:tcPr>
            <w:tcW w:w="4500" w:type="dxa"/>
            <w:shd w:val="clear" w:color="auto" w:fill="FFFFFF"/>
            <w:noWrap w:val="0"/>
            <w:tcMar>
              <w:left w:w="108" w:type="dxa"/>
              <w:right w:w="108" w:type="dxa"/>
            </w:tcMar>
            <w:vAlign w:val="center"/>
          </w:tcPr>
          <w:p w14:paraId="49E6435C">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物业公司为小区争取到政府资金支持的</w:t>
            </w:r>
          </w:p>
        </w:tc>
        <w:tc>
          <w:tcPr>
            <w:tcW w:w="1391" w:type="dxa"/>
            <w:shd w:val="clear" w:color="auto" w:fill="FFFFFF"/>
            <w:noWrap w:val="0"/>
            <w:tcMar>
              <w:left w:w="108" w:type="dxa"/>
              <w:right w:w="108" w:type="dxa"/>
            </w:tcMar>
            <w:vAlign w:val="center"/>
          </w:tcPr>
          <w:p w14:paraId="6AF2424A">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奖励1%</w:t>
            </w:r>
          </w:p>
        </w:tc>
        <w:tc>
          <w:tcPr>
            <w:tcW w:w="2370" w:type="dxa"/>
            <w:shd w:val="clear" w:color="auto" w:fill="FFFFFF"/>
            <w:noWrap w:val="0"/>
            <w:tcMar>
              <w:left w:w="108" w:type="dxa"/>
              <w:right w:w="108" w:type="dxa"/>
            </w:tcMar>
            <w:vAlign w:val="center"/>
          </w:tcPr>
          <w:p w14:paraId="620C0C4F">
            <w:pPr>
              <w:pStyle w:val="5"/>
              <w:pageBreakBefore w:val="0"/>
              <w:numPr>
                <w:ilvl w:val="0"/>
                <w:numId w:val="0"/>
              </w:numPr>
              <w:kinsoku/>
              <w:overflowPunct/>
              <w:topLinePunct w:val="0"/>
              <w:bidi w:val="0"/>
              <w:spacing w:after="0" w:line="360" w:lineRule="auto"/>
              <w:ind w:left="0" w:leftChars="0" w:right="0" w:right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资金3万元以上的，金额每超过1万元的按比例递增奖励，需征得街道社区同意。由争取来的资金额支出</w:t>
            </w:r>
          </w:p>
        </w:tc>
      </w:tr>
    </w:tbl>
    <w:p w14:paraId="2601CAF0">
      <w:pPr>
        <w:pStyle w:val="5"/>
        <w:pageBreakBefore w:val="0"/>
        <w:numPr>
          <w:ilvl w:val="0"/>
          <w:numId w:val="0"/>
        </w:numPr>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color w:val="auto"/>
          <w:highlight w:val="none"/>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★备注：</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1.此标准旨在约束</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合同附件在实际工作中需要不断改进完善，物业服务单位可以对考核提出异议，但需理解中执行，采购人和投标人均不得以任何理由，拒绝履行此标准。后期业委会将按照文件形式下发，业委会保留最终决定权。</w:t>
      </w:r>
    </w:p>
    <w:bookmarkEnd w:id="116"/>
    <w:bookmarkEnd w:id="118"/>
    <w:p w14:paraId="5BFC73C5">
      <w:pPr>
        <w:spacing w:line="360" w:lineRule="auto"/>
        <w:ind w:firstLine="437"/>
        <w:jc w:val="center"/>
        <w:outlineLvl w:val="1"/>
        <w:rPr>
          <w:rFonts w:ascii="宋体" w:hAnsi="宋体" w:eastAsia="宋体" w:cs="宋体"/>
          <w:b/>
          <w:sz w:val="24"/>
          <w:szCs w:val="18"/>
        </w:rPr>
      </w:pPr>
      <w:bookmarkStart w:id="125" w:name="_Toc12910"/>
      <w:bookmarkStart w:id="126" w:name="_Toc18052"/>
      <w:bookmarkStart w:id="127" w:name="_Toc1977"/>
      <w:r>
        <w:rPr>
          <w:rFonts w:hint="eastAsia" w:ascii="宋体" w:hAnsi="宋体" w:eastAsia="宋体" w:cs="宋体"/>
          <w:b/>
          <w:sz w:val="32"/>
          <w:szCs w:val="21"/>
        </w:rPr>
        <w:t>四、报价要求</w:t>
      </w:r>
      <w:bookmarkEnd w:id="125"/>
      <w:bookmarkEnd w:id="126"/>
      <w:bookmarkEnd w:id="127"/>
    </w:p>
    <w:p w14:paraId="6C79485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kern w:val="0"/>
          <w:sz w:val="24"/>
          <w:szCs w:val="24"/>
          <w:lang w:bidi="ar"/>
        </w:rPr>
      </w:pPr>
      <w:r>
        <w:rPr>
          <w:rFonts w:hint="eastAsia" w:ascii="宋体" w:hAnsi="宋体" w:eastAsia="宋体" w:cs="宋体"/>
          <w:kern w:val="0"/>
          <w:sz w:val="24"/>
          <w:szCs w:val="24"/>
          <w:lang w:eastAsia="zh-CN" w:bidi="ar"/>
        </w:rPr>
        <w:t>1.</w:t>
      </w:r>
      <w:r>
        <w:rPr>
          <w:rFonts w:hint="eastAsia" w:ascii="宋体" w:hAnsi="宋体" w:eastAsia="宋体" w:cs="宋体"/>
          <w:kern w:val="0"/>
          <w:sz w:val="24"/>
          <w:szCs w:val="24"/>
          <w:lang w:bidi="ar"/>
        </w:rPr>
        <w:t>报价方式：</w:t>
      </w:r>
    </w:p>
    <w:p w14:paraId="46ED2FF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kern w:val="0"/>
          <w:sz w:val="24"/>
          <w:szCs w:val="24"/>
          <w:lang w:bidi="ar"/>
        </w:rPr>
      </w:pPr>
      <w:r>
        <w:rPr>
          <w:rFonts w:hint="eastAsia" w:ascii="宋体" w:hAnsi="宋体" w:eastAsia="宋体" w:cs="宋体"/>
          <w:kern w:val="0"/>
          <w:sz w:val="24"/>
          <w:szCs w:val="24"/>
          <w:lang w:bidi="ar"/>
        </w:rPr>
        <w:t xml:space="preserve">（1）□总价报价：                 ； </w:t>
      </w:r>
    </w:p>
    <w:p w14:paraId="1071D8D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（2）</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 xml:space="preserve">费率报价：                 ； </w:t>
      </w:r>
    </w:p>
    <w:p w14:paraId="3C36632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 xml:space="preserve">（3）□单价报价：                 ； </w:t>
      </w:r>
    </w:p>
    <w:p w14:paraId="2B79D0D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 xml:space="preserve">（4）□其他：                     ； </w:t>
      </w:r>
    </w:p>
    <w:p w14:paraId="7C5C81B2">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bookmarkStart w:id="128" w:name="_Toc23495"/>
      <w:r>
        <w:rPr>
          <w:rFonts w:hint="eastAsia" w:ascii="宋体" w:hAnsi="宋体" w:eastAsia="宋体" w:cs="宋体"/>
          <w:kern w:val="0"/>
          <w:sz w:val="24"/>
          <w:szCs w:val="24"/>
          <w:highlight w:val="none"/>
          <w:lang w:bidi="ar"/>
        </w:rPr>
        <w:t>备注：1、本项目报价采用费率报价，最高报价不得超过100%，否则作为无效报价。结算价以采购文件给定的物业服务费具体收费标准为基数×</w:t>
      </w:r>
      <w:r>
        <w:rPr>
          <w:rFonts w:hint="eastAsia" w:ascii="宋体" w:hAnsi="宋体" w:eastAsia="宋体" w:cs="宋体"/>
          <w:kern w:val="0"/>
          <w:sz w:val="24"/>
          <w:szCs w:val="24"/>
          <w:highlight w:val="none"/>
          <w:lang w:val="en-US" w:eastAsia="zh-CN" w:bidi="ar"/>
        </w:rPr>
        <w:t>成交</w:t>
      </w:r>
      <w:r>
        <w:rPr>
          <w:rFonts w:hint="eastAsia" w:ascii="宋体" w:hAnsi="宋体" w:eastAsia="宋体" w:cs="宋体"/>
          <w:kern w:val="0"/>
          <w:sz w:val="24"/>
          <w:szCs w:val="24"/>
          <w:highlight w:val="none"/>
          <w:lang w:bidi="ar"/>
        </w:rPr>
        <w:t>费率。上述报价包含移交后人员工资、</w:t>
      </w:r>
      <w:r>
        <w:rPr>
          <w:rFonts w:hint="eastAsia" w:ascii="宋体" w:hAnsi="宋体" w:eastAsia="宋体" w:cs="宋体"/>
          <w:kern w:val="0"/>
          <w:sz w:val="24"/>
          <w:szCs w:val="24"/>
          <w:highlight w:val="none"/>
          <w:lang w:val="en-US" w:eastAsia="zh-CN" w:bidi="ar"/>
        </w:rPr>
        <w:t>社保、</w:t>
      </w:r>
      <w:r>
        <w:rPr>
          <w:rFonts w:hint="eastAsia" w:ascii="宋体" w:hAnsi="宋体" w:eastAsia="宋体" w:cs="宋体"/>
          <w:kern w:val="0"/>
          <w:sz w:val="24"/>
          <w:szCs w:val="24"/>
          <w:highlight w:val="none"/>
          <w:lang w:bidi="ar"/>
        </w:rPr>
        <w:t>电梯、供配电系统、供水设施（包含二次加压）给排水系统、通风系统、空调系统、消防系统、绿化景观、监控系统、门禁及其它设施日常维护保养、能耗、年检和运行管理费用。</w:t>
      </w:r>
    </w:p>
    <w:p w14:paraId="67219C2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2.</w:t>
      </w:r>
      <w:r>
        <w:rPr>
          <w:rFonts w:hint="eastAsia" w:ascii="宋体" w:hAnsi="宋体" w:eastAsia="宋体" w:cs="宋体"/>
          <w:kern w:val="0"/>
          <w:sz w:val="24"/>
          <w:szCs w:val="24"/>
          <w:highlight w:val="none"/>
          <w:lang w:eastAsia="zh-CN" w:bidi="ar"/>
        </w:rPr>
        <w:t>投标报价</w:t>
      </w:r>
      <w:r>
        <w:rPr>
          <w:rFonts w:hint="eastAsia" w:ascii="宋体" w:hAnsi="宋体" w:eastAsia="宋体" w:cs="宋体"/>
          <w:kern w:val="0"/>
          <w:sz w:val="24"/>
          <w:szCs w:val="24"/>
          <w:highlight w:val="none"/>
          <w:lang w:bidi="ar"/>
        </w:rPr>
        <w:t>须包含采购文件第三章约定的服务范围、内容及质量要求所发生的所有成本、费用、税金及投标人的合理利润、政策性文件和合同包含的所有风险、责任等各项内容。</w:t>
      </w:r>
    </w:p>
    <w:p w14:paraId="397BE72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3.投标人的报价必须充分考虑到采购文件第三章约定的服务范围、内容及质量要求，以及后勤综合管理服务的各种管理因素和环境条件，合理配置资源，并能够保持持续性改进提升的投入能力。投标人如有漏项，视同已包含在其它项目中。凡未列入的将被认为均已包含在本次响应总价中，除采购文件内容约定外今后不得向</w:t>
      </w:r>
      <w:r>
        <w:rPr>
          <w:rFonts w:hint="eastAsia" w:ascii="宋体" w:hAnsi="宋体" w:eastAsia="宋体" w:cs="宋体"/>
          <w:kern w:val="0"/>
          <w:sz w:val="24"/>
          <w:szCs w:val="24"/>
          <w:highlight w:val="none"/>
          <w:lang w:eastAsia="zh-CN" w:bidi="ar"/>
        </w:rPr>
        <w:t>采购人</w:t>
      </w:r>
      <w:r>
        <w:rPr>
          <w:rFonts w:hint="eastAsia" w:ascii="宋体" w:hAnsi="宋体" w:eastAsia="宋体" w:cs="宋体"/>
          <w:kern w:val="0"/>
          <w:sz w:val="24"/>
          <w:szCs w:val="24"/>
          <w:highlight w:val="none"/>
          <w:lang w:bidi="ar"/>
        </w:rPr>
        <w:t>提出调增。</w:t>
      </w:r>
    </w:p>
    <w:p w14:paraId="4749604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4.除采购文件中特别约定可以调整的情况外，投标人</w:t>
      </w:r>
      <w:r>
        <w:rPr>
          <w:rFonts w:hint="eastAsia" w:ascii="宋体" w:hAnsi="宋体" w:eastAsia="宋体" w:cs="宋体"/>
          <w:b w:val="0"/>
          <w:bCs w:val="0"/>
          <w:kern w:val="0"/>
          <w:sz w:val="24"/>
          <w:szCs w:val="24"/>
          <w:highlight w:val="none"/>
          <w:lang w:bidi="ar"/>
        </w:rPr>
        <w:t>所报的</w:t>
      </w:r>
      <w:r>
        <w:rPr>
          <w:rFonts w:hint="eastAsia" w:ascii="宋体" w:hAnsi="宋体" w:eastAsia="宋体" w:cs="宋体"/>
          <w:b w:val="0"/>
          <w:bCs w:val="0"/>
          <w:kern w:val="0"/>
          <w:sz w:val="24"/>
          <w:szCs w:val="24"/>
          <w:highlight w:val="none"/>
          <w:lang w:val="en-US" w:eastAsia="zh-CN" w:bidi="ar"/>
        </w:rPr>
        <w:t>价格</w:t>
      </w:r>
      <w:r>
        <w:rPr>
          <w:rFonts w:hint="eastAsia" w:ascii="宋体" w:hAnsi="宋体" w:eastAsia="宋体" w:cs="宋体"/>
          <w:kern w:val="0"/>
          <w:sz w:val="24"/>
          <w:szCs w:val="24"/>
          <w:highlight w:val="none"/>
          <w:lang w:bidi="ar"/>
        </w:rPr>
        <w:t>在合同执行过程中是固定不变的，不得以任何理由予以变更。</w:t>
      </w:r>
    </w:p>
    <w:p w14:paraId="781BEAA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5.物业管理区域内路灯、楼内公灯、电梯等公共设施设备的水、电、日常维护费用、年检含于</w:t>
      </w:r>
      <w:r>
        <w:rPr>
          <w:rFonts w:hint="eastAsia" w:ascii="宋体" w:hAnsi="宋体" w:eastAsia="宋体" w:cs="宋体"/>
          <w:kern w:val="0"/>
          <w:sz w:val="24"/>
          <w:szCs w:val="24"/>
          <w:highlight w:val="none"/>
          <w:lang w:eastAsia="zh-CN" w:bidi="ar"/>
        </w:rPr>
        <w:t>投标报价</w:t>
      </w:r>
      <w:r>
        <w:rPr>
          <w:rFonts w:hint="eastAsia" w:ascii="宋体" w:hAnsi="宋体" w:eastAsia="宋体" w:cs="宋体"/>
          <w:kern w:val="0"/>
          <w:sz w:val="24"/>
          <w:szCs w:val="24"/>
          <w:highlight w:val="none"/>
          <w:lang w:bidi="ar"/>
        </w:rPr>
        <w:t>内，甲方不另行支付</w:t>
      </w:r>
    </w:p>
    <w:p w14:paraId="2DA720B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6.公建面积物业管理费、前期介入费、开办费均含于</w:t>
      </w:r>
      <w:r>
        <w:rPr>
          <w:rFonts w:hint="eastAsia" w:ascii="宋体" w:hAnsi="宋体" w:eastAsia="宋体" w:cs="宋体"/>
          <w:kern w:val="0"/>
          <w:sz w:val="24"/>
          <w:szCs w:val="24"/>
          <w:highlight w:val="none"/>
          <w:lang w:eastAsia="zh-CN" w:bidi="ar"/>
        </w:rPr>
        <w:t>投标报价</w:t>
      </w:r>
      <w:r>
        <w:rPr>
          <w:rFonts w:hint="eastAsia" w:ascii="宋体" w:hAnsi="宋体" w:eastAsia="宋体" w:cs="宋体"/>
          <w:kern w:val="0"/>
          <w:sz w:val="24"/>
          <w:szCs w:val="24"/>
          <w:highlight w:val="none"/>
          <w:lang w:bidi="ar"/>
        </w:rPr>
        <w:t>内，甲方不另行支付。</w:t>
      </w:r>
    </w:p>
    <w:p w14:paraId="164B294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7.</w:t>
      </w:r>
      <w:r>
        <w:rPr>
          <w:rFonts w:hint="eastAsia" w:ascii="宋体" w:hAnsi="宋体" w:eastAsia="宋体" w:cs="宋体"/>
          <w:b/>
          <w:bCs/>
          <w:kern w:val="0"/>
          <w:sz w:val="24"/>
          <w:szCs w:val="24"/>
          <w:highlight w:val="none"/>
          <w:lang w:bidi="ar"/>
        </w:rPr>
        <w:t>物业服务费具体收费标准如下</w:t>
      </w:r>
      <w:r>
        <w:rPr>
          <w:rFonts w:hint="eastAsia" w:ascii="宋体" w:hAnsi="宋体" w:eastAsia="宋体" w:cs="宋体"/>
          <w:kern w:val="0"/>
          <w:sz w:val="24"/>
          <w:szCs w:val="24"/>
          <w:highlight w:val="none"/>
          <w:lang w:bidi="ar"/>
        </w:rPr>
        <w:t>（原则上服务期内的物业服务费不变）：</w:t>
      </w:r>
    </w:p>
    <w:p w14:paraId="129BE49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高层住宅部分（有电梯）：限价1.13元/月·平方米；</w:t>
      </w:r>
    </w:p>
    <w:p w14:paraId="7CE6E13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多层住宅部分（无电梯）：限价0.6元/月·平方米；</w:t>
      </w:r>
    </w:p>
    <w:p w14:paraId="2463782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别墅部分（有电梯）：限价1.13元/月·平方米；</w:t>
      </w:r>
    </w:p>
    <w:p w14:paraId="0690756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商业部分：限价1.5元/月·平方米；</w:t>
      </w:r>
    </w:p>
    <w:p w14:paraId="706BF81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5</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幼儿园、小学：</w:t>
      </w:r>
      <w:r>
        <w:rPr>
          <w:rFonts w:hint="eastAsia" w:ascii="宋体" w:hAnsi="宋体" w:eastAsia="宋体" w:cs="宋体"/>
          <w:kern w:val="0"/>
          <w:sz w:val="24"/>
          <w:szCs w:val="24"/>
          <w:highlight w:val="none"/>
          <w:lang w:val="en-US" w:eastAsia="zh-CN" w:bidi="ar"/>
        </w:rPr>
        <w:t>8000/年</w:t>
      </w:r>
      <w:r>
        <w:rPr>
          <w:rFonts w:hint="eastAsia" w:ascii="宋体" w:hAnsi="宋体" w:eastAsia="宋体" w:cs="宋体"/>
          <w:kern w:val="0"/>
          <w:sz w:val="24"/>
          <w:szCs w:val="24"/>
          <w:highlight w:val="none"/>
          <w:lang w:bidi="ar"/>
        </w:rPr>
        <w:t>；</w:t>
      </w:r>
    </w:p>
    <w:p w14:paraId="70A9679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bidi="ar"/>
        </w:rPr>
      </w:pP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6</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二次加压费：200元/户，7楼及以上收取</w:t>
      </w:r>
      <w:r>
        <w:rPr>
          <w:rFonts w:hint="eastAsia" w:ascii="宋体" w:hAnsi="宋体" w:eastAsia="宋体" w:cs="宋体"/>
          <w:kern w:val="0"/>
          <w:sz w:val="24"/>
          <w:szCs w:val="24"/>
          <w:highlight w:val="none"/>
          <w:lang w:eastAsia="zh-CN" w:bidi="ar"/>
        </w:rPr>
        <w:t>；</w:t>
      </w:r>
    </w:p>
    <w:p w14:paraId="2AE1D6D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bidi="ar"/>
        </w:rPr>
      </w:pP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7</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装修垃圾清运费：3元/㎡</w:t>
      </w:r>
      <w:r>
        <w:rPr>
          <w:rFonts w:hint="eastAsia" w:ascii="宋体" w:hAnsi="宋体" w:eastAsia="宋体" w:cs="宋体"/>
          <w:kern w:val="0"/>
          <w:sz w:val="24"/>
          <w:szCs w:val="24"/>
          <w:highlight w:val="none"/>
          <w:lang w:eastAsia="zh-CN" w:bidi="ar"/>
        </w:rPr>
        <w:t>；</w:t>
      </w:r>
    </w:p>
    <w:p w14:paraId="3A1A1CA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bidi="ar"/>
        </w:rPr>
      </w:pP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8</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地面车位</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长期租赁的固定车位按120元/月/位的标准收取停车服务费</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公共收益</w:t>
      </w:r>
      <w:r>
        <w:rPr>
          <w:rFonts w:hint="eastAsia" w:ascii="宋体" w:hAnsi="宋体" w:eastAsia="宋体" w:cs="宋体"/>
          <w:kern w:val="0"/>
          <w:sz w:val="24"/>
          <w:szCs w:val="24"/>
          <w:highlight w:val="none"/>
          <w:lang w:eastAsia="zh-CN" w:bidi="ar"/>
        </w:rPr>
        <w:t>）；</w:t>
      </w:r>
    </w:p>
    <w:p w14:paraId="4F2F8E5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bidi="ar"/>
        </w:rPr>
      </w:pP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9</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地下车库：</w:t>
      </w:r>
      <w:r>
        <w:rPr>
          <w:rFonts w:hint="eastAsia" w:ascii="宋体" w:hAnsi="宋体" w:eastAsia="宋体" w:cs="宋体"/>
          <w:kern w:val="0"/>
          <w:sz w:val="24"/>
          <w:szCs w:val="24"/>
          <w:highlight w:val="none"/>
          <w:lang w:bidi="ar"/>
        </w:rPr>
        <w:t>业主拥有使用权</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出售</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bidi="ar"/>
        </w:rPr>
        <w:t>或长期租赁的固定车位：车位使用人应按30元/位/月的标准向</w:t>
      </w:r>
      <w:r>
        <w:rPr>
          <w:rFonts w:hint="eastAsia" w:ascii="宋体" w:hAnsi="宋体" w:eastAsia="宋体" w:cs="宋体"/>
          <w:kern w:val="0"/>
          <w:sz w:val="24"/>
          <w:szCs w:val="24"/>
          <w:highlight w:val="none"/>
          <w:lang w:eastAsia="zh-CN" w:bidi="ar"/>
        </w:rPr>
        <w:t>中标人</w:t>
      </w:r>
      <w:r>
        <w:rPr>
          <w:rFonts w:hint="eastAsia" w:ascii="宋体" w:hAnsi="宋体" w:eastAsia="宋体" w:cs="宋体"/>
          <w:kern w:val="0"/>
          <w:sz w:val="24"/>
          <w:szCs w:val="24"/>
          <w:highlight w:val="none"/>
          <w:lang w:bidi="ar"/>
        </w:rPr>
        <w:t>交纳停车管理服务费</w:t>
      </w:r>
      <w:r>
        <w:rPr>
          <w:rFonts w:hint="eastAsia" w:ascii="宋体" w:hAnsi="宋体" w:eastAsia="宋体" w:cs="宋体"/>
          <w:kern w:val="0"/>
          <w:sz w:val="24"/>
          <w:szCs w:val="24"/>
          <w:highlight w:val="none"/>
          <w:lang w:eastAsia="zh-CN" w:bidi="ar"/>
        </w:rPr>
        <w:t>；</w:t>
      </w:r>
    </w:p>
    <w:p w14:paraId="0C0B2C8D">
      <w:pPr>
        <w:keepNext w:val="0"/>
        <w:keepLines w:val="0"/>
        <w:pageBreakBefore w:val="0"/>
        <w:widowControl/>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10</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未出租出售的车位再收益作为公共收益。</w:t>
      </w:r>
    </w:p>
    <w:p w14:paraId="50DD356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bidi="ar"/>
        </w:rPr>
        <w:t>物业服务费结算价</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1</w:t>
      </w:r>
      <w:r>
        <w:rPr>
          <w:rFonts w:hint="eastAsia" w:ascii="宋体" w:hAnsi="宋体" w:eastAsia="宋体" w:cs="宋体"/>
          <w:kern w:val="0"/>
          <w:sz w:val="24"/>
          <w:szCs w:val="24"/>
          <w:highlight w:val="none"/>
          <w:lang w:eastAsia="zh-CN" w:bidi="ar"/>
        </w:rPr>
        <w:t>）</w:t>
      </w:r>
      <w:r>
        <w:rPr>
          <w:rFonts w:hint="eastAsia" w:ascii="宋体" w:hAnsi="宋体" w:eastAsia="宋体" w:cs="宋体"/>
          <w:kern w:val="0"/>
          <w:sz w:val="24"/>
          <w:szCs w:val="24"/>
          <w:highlight w:val="none"/>
          <w:lang w:val="en-US" w:eastAsia="zh-CN" w:bidi="ar"/>
        </w:rPr>
        <w:t>-（4）条物业服务费=</w:t>
      </w:r>
      <w:r>
        <w:rPr>
          <w:rFonts w:hint="eastAsia" w:ascii="宋体" w:hAnsi="宋体" w:eastAsia="宋体" w:cs="宋体"/>
          <w:kern w:val="0"/>
          <w:sz w:val="24"/>
          <w:szCs w:val="24"/>
          <w:highlight w:val="none"/>
          <w:lang w:bidi="ar"/>
        </w:rPr>
        <w:t>给定的物业服务费具体收费标准</w:t>
      </w:r>
      <w:r>
        <w:rPr>
          <w:rFonts w:hint="eastAsia" w:ascii="宋体" w:hAnsi="宋体" w:eastAsia="宋体" w:cs="宋体"/>
          <w:kern w:val="0"/>
          <w:sz w:val="24"/>
          <w:szCs w:val="24"/>
          <w:highlight w:val="none"/>
          <w:lang w:val="en-US" w:eastAsia="zh-CN" w:bidi="ar"/>
        </w:rPr>
        <w:t>×</w:t>
      </w:r>
      <w:r>
        <w:rPr>
          <w:rFonts w:hint="eastAsia" w:ascii="宋体" w:hAnsi="宋体" w:eastAsia="宋体" w:cs="宋体"/>
          <w:kern w:val="0"/>
          <w:sz w:val="24"/>
          <w:szCs w:val="24"/>
          <w:highlight w:val="none"/>
          <w:lang w:eastAsia="zh-CN" w:bidi="ar"/>
        </w:rPr>
        <w:t>中标人</w:t>
      </w:r>
      <w:r>
        <w:rPr>
          <w:rFonts w:hint="eastAsia" w:ascii="宋体" w:hAnsi="宋体" w:eastAsia="宋体" w:cs="宋体"/>
          <w:kern w:val="0"/>
          <w:sz w:val="24"/>
          <w:szCs w:val="24"/>
          <w:highlight w:val="none"/>
          <w:lang w:val="en-US" w:eastAsia="zh-CN" w:bidi="ar"/>
        </w:rPr>
        <w:t>成交</w:t>
      </w:r>
      <w:r>
        <w:rPr>
          <w:rFonts w:hint="eastAsia" w:ascii="宋体" w:hAnsi="宋体" w:eastAsia="宋体" w:cs="宋体"/>
          <w:kern w:val="0"/>
          <w:sz w:val="24"/>
          <w:szCs w:val="24"/>
          <w:highlight w:val="none"/>
          <w:lang w:bidi="ar"/>
        </w:rPr>
        <w:t>费率。</w:t>
      </w:r>
      <w:r>
        <w:rPr>
          <w:rFonts w:hint="eastAsia" w:ascii="宋体" w:hAnsi="宋体" w:eastAsia="宋体" w:cs="宋体"/>
          <w:kern w:val="0"/>
          <w:sz w:val="24"/>
          <w:szCs w:val="24"/>
          <w:highlight w:val="none"/>
          <w:lang w:val="en-US" w:eastAsia="zh-CN" w:bidi="ar"/>
        </w:rPr>
        <w:t>其余按以上规定结算。</w:t>
      </w:r>
    </w:p>
    <w:p w14:paraId="381292E0">
      <w:pPr>
        <w:keepNext w:val="0"/>
        <w:keepLines w:val="0"/>
        <w:pageBreakBefore w:val="0"/>
        <w:widowControl/>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kern w:val="0"/>
          <w:sz w:val="24"/>
          <w:szCs w:val="24"/>
          <w:highlight w:val="none"/>
          <w:lang w:bidi="ar"/>
        </w:rPr>
      </w:pPr>
      <w:r>
        <w:rPr>
          <w:rFonts w:hint="eastAsia" w:ascii="宋体" w:hAnsi="宋体" w:eastAsia="宋体" w:cs="宋体"/>
          <w:b/>
          <w:bCs/>
          <w:kern w:val="0"/>
          <w:sz w:val="24"/>
          <w:szCs w:val="24"/>
          <w:highlight w:val="none"/>
          <w:lang w:val="en-US" w:eastAsia="zh-CN" w:bidi="ar"/>
        </w:rPr>
        <w:t>8.</w:t>
      </w:r>
      <w:r>
        <w:rPr>
          <w:rFonts w:hint="eastAsia" w:ascii="宋体" w:hAnsi="宋体" w:eastAsia="宋体" w:cs="宋体"/>
          <w:b/>
          <w:bCs/>
          <w:kern w:val="0"/>
          <w:sz w:val="24"/>
          <w:szCs w:val="24"/>
          <w:highlight w:val="none"/>
          <w:lang w:bidi="ar"/>
        </w:rPr>
        <w:t>小区经营性收入分成方案</w:t>
      </w:r>
    </w:p>
    <w:p w14:paraId="5275724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本物业管理区域内的全体业主所有的相关设施、场地等可委托物业服务企业经营管理，经营管理收费经过业主委员会同意书面签订有关合同。</w:t>
      </w:r>
    </w:p>
    <w:p w14:paraId="006BDC4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（一）广告收入：电梯广告、灯箱广告等；</w:t>
      </w:r>
    </w:p>
    <w:p w14:paraId="773EC88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（二）其他收入：共有房屋租赁、场地租赁、停车位费等。</w:t>
      </w:r>
    </w:p>
    <w:p w14:paraId="29DF77B6">
      <w:pPr>
        <w:keepNext w:val="0"/>
        <w:keepLines w:val="0"/>
        <w:pageBreakBefore w:val="0"/>
        <w:widowControl/>
        <w:tabs>
          <w:tab w:val="left" w:pos="7140"/>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物业服务企业结合小区实际提供经营方案和成本测算方案，包括但不限于车辆管理方案、成本税费测算与分成比例。停车费、广告收入等小区公共收益：</w:t>
      </w:r>
      <w:r>
        <w:rPr>
          <w:rFonts w:hint="eastAsia" w:ascii="宋体" w:hAnsi="宋体" w:eastAsia="宋体" w:cs="宋体"/>
          <w:b/>
          <w:bCs/>
          <w:color w:val="auto"/>
          <w:kern w:val="0"/>
          <w:sz w:val="24"/>
          <w:szCs w:val="24"/>
          <w:highlight w:val="none"/>
          <w:lang w:bidi="ar"/>
        </w:rPr>
        <w:t>补贴</w:t>
      </w:r>
      <w:r>
        <w:rPr>
          <w:rFonts w:hint="eastAsia" w:ascii="宋体" w:hAnsi="宋体" w:eastAsia="宋体" w:cs="宋体"/>
          <w:b/>
          <w:bCs/>
          <w:color w:val="auto"/>
          <w:kern w:val="0"/>
          <w:sz w:val="24"/>
          <w:szCs w:val="24"/>
          <w:highlight w:val="none"/>
          <w:lang w:eastAsia="zh-CN" w:bidi="ar"/>
        </w:rPr>
        <w:t>中标人</w:t>
      </w:r>
      <w:r>
        <w:rPr>
          <w:rFonts w:hint="eastAsia" w:ascii="宋体" w:hAnsi="宋体" w:eastAsia="宋体" w:cs="宋体"/>
          <w:b/>
          <w:bCs/>
          <w:color w:val="auto"/>
          <w:kern w:val="0"/>
          <w:sz w:val="24"/>
          <w:szCs w:val="24"/>
          <w:highlight w:val="none"/>
          <w:lang w:bidi="ar"/>
        </w:rPr>
        <w:t>最高限额30%（无论</w:t>
      </w:r>
      <w:r>
        <w:rPr>
          <w:rFonts w:hint="eastAsia" w:ascii="宋体" w:hAnsi="宋体" w:eastAsia="宋体" w:cs="宋体"/>
          <w:b/>
          <w:bCs/>
          <w:color w:val="auto"/>
          <w:kern w:val="0"/>
          <w:sz w:val="24"/>
          <w:szCs w:val="24"/>
          <w:highlight w:val="none"/>
          <w:lang w:eastAsia="zh-CN" w:bidi="ar"/>
        </w:rPr>
        <w:t>中标人</w:t>
      </w:r>
      <w:r>
        <w:rPr>
          <w:rFonts w:hint="eastAsia" w:ascii="宋体" w:hAnsi="宋体" w:eastAsia="宋体" w:cs="宋体"/>
          <w:b/>
          <w:bCs/>
          <w:color w:val="auto"/>
          <w:kern w:val="0"/>
          <w:sz w:val="24"/>
          <w:szCs w:val="24"/>
          <w:highlight w:val="none"/>
          <w:lang w:bidi="ar"/>
        </w:rPr>
        <w:t>提出是否需要公共收益分成，本小区所有公共收益收入合同均由</w:t>
      </w:r>
      <w:r>
        <w:rPr>
          <w:rFonts w:hint="eastAsia" w:ascii="宋体" w:hAnsi="宋体" w:eastAsia="宋体" w:cs="宋体"/>
          <w:b/>
          <w:bCs/>
          <w:color w:val="auto"/>
          <w:kern w:val="0"/>
          <w:sz w:val="24"/>
          <w:szCs w:val="24"/>
          <w:highlight w:val="none"/>
          <w:lang w:eastAsia="zh-CN" w:bidi="ar"/>
        </w:rPr>
        <w:t>中标人</w:t>
      </w:r>
      <w:r>
        <w:rPr>
          <w:rFonts w:hint="eastAsia" w:ascii="宋体" w:hAnsi="宋体" w:eastAsia="宋体" w:cs="宋体"/>
          <w:b/>
          <w:bCs/>
          <w:color w:val="auto"/>
          <w:kern w:val="0"/>
          <w:sz w:val="24"/>
          <w:szCs w:val="24"/>
          <w:highlight w:val="none"/>
          <w:lang w:bidi="ar"/>
        </w:rPr>
        <w:t>代为签署</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公共收益每月结算一次，每月10号之前，</w:t>
      </w:r>
      <w:r>
        <w:rPr>
          <w:rFonts w:hint="eastAsia" w:ascii="宋体" w:hAnsi="宋体" w:eastAsia="宋体" w:cs="宋体"/>
          <w:b/>
          <w:bCs/>
          <w:color w:val="auto"/>
          <w:sz w:val="24"/>
          <w:szCs w:val="24"/>
          <w:highlight w:val="none"/>
          <w:lang w:val="en-US" w:eastAsia="zh-CN"/>
        </w:rPr>
        <w:t>中标人须把上月公共收益清算无误后，扣除己方分成（通过业主大会表决后的比例分成），把剩余部分转入业委会账户。另外须提供所核算的公共收益具体明细表，盖公章后送业委会报备。</w:t>
      </w:r>
      <w:r>
        <w:rPr>
          <w:rFonts w:hint="eastAsia" w:ascii="宋体" w:hAnsi="宋体" w:eastAsia="宋体" w:cs="宋体"/>
          <w:kern w:val="0"/>
          <w:sz w:val="24"/>
          <w:szCs w:val="24"/>
          <w:highlight w:val="none"/>
          <w:lang w:bidi="ar"/>
        </w:rPr>
        <w:t>），其余归全体业主所有，主要补充专项维修资金，经业主大会表决通过可以用于业主委员会运行经费或物业管理方面的其他需要。</w:t>
      </w:r>
    </w:p>
    <w:p w14:paraId="0ABB567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eastAsia="zh-CN" w:bidi="ar"/>
        </w:rPr>
        <w:t>5.</w:t>
      </w:r>
      <w:r>
        <w:rPr>
          <w:rFonts w:hint="eastAsia" w:ascii="宋体" w:hAnsi="宋体" w:eastAsia="宋体" w:cs="宋体"/>
          <w:kern w:val="0"/>
          <w:sz w:val="24"/>
          <w:szCs w:val="24"/>
          <w:highlight w:val="none"/>
          <w:lang w:bidi="ar"/>
        </w:rPr>
        <w:t>要求</w:t>
      </w:r>
      <w:r>
        <w:rPr>
          <w:rFonts w:hint="eastAsia" w:ascii="宋体" w:hAnsi="宋体" w:eastAsia="宋体" w:cs="宋体"/>
          <w:kern w:val="0"/>
          <w:sz w:val="24"/>
          <w:szCs w:val="24"/>
          <w:highlight w:val="none"/>
          <w:lang w:val="en-US" w:eastAsia="zh-CN" w:bidi="ar"/>
        </w:rPr>
        <w:t>投标人</w:t>
      </w:r>
      <w:r>
        <w:rPr>
          <w:rFonts w:hint="eastAsia" w:ascii="宋体" w:hAnsi="宋体" w:eastAsia="宋体" w:cs="宋体"/>
          <w:kern w:val="0"/>
          <w:sz w:val="24"/>
          <w:szCs w:val="24"/>
          <w:highlight w:val="none"/>
          <w:lang w:bidi="ar"/>
        </w:rPr>
        <w:t>明确停车费、广告费等经营收入的物业管理成本测算标准及日常的管理结算办法，并做出相应的承诺。</w:t>
      </w:r>
    </w:p>
    <w:p w14:paraId="2A49619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kern w:val="0"/>
          <w:sz w:val="24"/>
          <w:szCs w:val="24"/>
          <w:highlight w:val="none"/>
          <w:lang w:bidi="ar"/>
        </w:rPr>
      </w:pPr>
      <w:r>
        <w:rPr>
          <w:rFonts w:hint="eastAsia" w:ascii="宋体" w:hAnsi="宋体" w:eastAsia="宋体" w:cs="宋体"/>
          <w:kern w:val="0"/>
          <w:sz w:val="24"/>
          <w:szCs w:val="24"/>
          <w:highlight w:val="none"/>
          <w:lang w:eastAsia="zh-CN" w:bidi="ar"/>
        </w:rPr>
        <w:t>6.</w:t>
      </w:r>
      <w:r>
        <w:rPr>
          <w:rFonts w:hint="eastAsia" w:ascii="宋体" w:hAnsi="宋体" w:eastAsia="宋体" w:cs="宋体"/>
          <w:kern w:val="0"/>
          <w:sz w:val="24"/>
          <w:szCs w:val="24"/>
          <w:highlight w:val="none"/>
          <w:lang w:bidi="ar"/>
        </w:rPr>
        <w:t>要求投标人提供小区物业管理处岗位设置和服务人员编制数量以及工资福利标准的方案。</w:t>
      </w:r>
      <w:bookmarkEnd w:id="128"/>
    </w:p>
    <w:p w14:paraId="4C2BA39B">
      <w:pPr>
        <w:keepNext w:val="0"/>
        <w:keepLines w:val="0"/>
        <w:pageBreakBefore w:val="0"/>
        <w:kinsoku/>
        <w:wordWrap/>
        <w:overflowPunct/>
        <w:topLinePunct w:val="0"/>
        <w:autoSpaceDE/>
        <w:autoSpaceDN/>
        <w:bidi w:val="0"/>
        <w:adjustRightInd w:val="0"/>
        <w:snapToGrid w:val="0"/>
        <w:spacing w:line="360" w:lineRule="auto"/>
        <w:ind w:firstLine="437"/>
        <w:textAlignment w:val="auto"/>
        <w:outlineLvl w:val="1"/>
        <w:rPr>
          <w:rFonts w:ascii="宋体" w:hAnsi="宋体" w:eastAsia="宋体" w:cs="宋体"/>
          <w:b/>
          <w:sz w:val="24"/>
          <w:szCs w:val="24"/>
        </w:rPr>
      </w:pPr>
      <w:bookmarkStart w:id="129" w:name="_Toc7922"/>
      <w:bookmarkStart w:id="130" w:name="_Toc3530"/>
      <w:bookmarkStart w:id="131" w:name="_Toc23590"/>
      <w:r>
        <w:rPr>
          <w:rFonts w:hint="eastAsia" w:ascii="宋体" w:hAnsi="宋体" w:eastAsia="宋体" w:cs="宋体"/>
          <w:b/>
          <w:sz w:val="24"/>
          <w:szCs w:val="24"/>
        </w:rPr>
        <w:t>五、其他要求</w:t>
      </w:r>
      <w:bookmarkEnd w:id="129"/>
      <w:bookmarkEnd w:id="130"/>
      <w:bookmarkEnd w:id="131"/>
    </w:p>
    <w:p w14:paraId="762CCAB6">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中标（成交）后以任何原因弃标的，需赔付本次采购标的额3</w:t>
      </w:r>
      <w:r>
        <w:rPr>
          <w:rFonts w:hint="eastAsia" w:ascii="宋体" w:hAnsi="宋体" w:eastAsia="宋体" w:cs="宋体"/>
          <w:b/>
          <w:bCs/>
          <w:sz w:val="24"/>
          <w:szCs w:val="24"/>
          <w:lang w:val="en-US" w:eastAsia="zh-CN"/>
        </w:rPr>
        <w:t>56</w:t>
      </w:r>
      <w:r>
        <w:rPr>
          <w:rFonts w:hint="eastAsia" w:ascii="宋体" w:hAnsi="宋体" w:eastAsia="宋体" w:cs="宋体"/>
          <w:b/>
          <w:bCs/>
          <w:sz w:val="24"/>
          <w:szCs w:val="24"/>
        </w:rPr>
        <w:t>万的1%违约金</w:t>
      </w:r>
      <w:r>
        <w:rPr>
          <w:rFonts w:hint="eastAsia" w:ascii="宋体" w:hAnsi="宋体" w:eastAsia="宋体" w:cs="宋体"/>
          <w:b/>
          <w:bCs/>
          <w:sz w:val="24"/>
          <w:szCs w:val="24"/>
          <w:lang w:eastAsia="zh-CN"/>
        </w:rPr>
        <w:t>。</w:t>
      </w:r>
    </w:p>
    <w:p w14:paraId="6F8C9B8C">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w:t>
      </w:r>
      <w:r>
        <w:rPr>
          <w:rFonts w:hint="eastAsia" w:ascii="宋体" w:hAnsi="宋体" w:eastAsia="宋体" w:cs="宋体"/>
          <w:b/>
          <w:bCs/>
          <w:color w:val="auto"/>
          <w:sz w:val="24"/>
          <w:szCs w:val="24"/>
          <w:highlight w:val="none"/>
          <w:lang w:val="en-US" w:eastAsia="zh-CN"/>
        </w:rPr>
        <w:t>投标文件中</w:t>
      </w:r>
      <w:r>
        <w:rPr>
          <w:rFonts w:hint="eastAsia" w:ascii="宋体" w:hAnsi="宋体" w:eastAsia="宋体" w:cs="宋体"/>
          <w:b/>
          <w:bCs/>
          <w:sz w:val="24"/>
          <w:szCs w:val="24"/>
          <w:lang w:eastAsia="zh-CN"/>
        </w:rPr>
        <w:t>提供承诺函，承诺合作期限内，若出现以下情况，属于中标人违约，采购人有权解除合同，采购人在新任物业服务企业进场承接查验后撤场：</w:t>
      </w:r>
    </w:p>
    <w:p w14:paraId="32136481">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①不兑现承诺，不按照本次采购文件的要求提供履约服务，且拒绝整改；</w:t>
      </w:r>
    </w:p>
    <w:p w14:paraId="146AA15C">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②单个年度服务期限内，由业委会和业主测评，物业服务考核评分降到了70分以下。物业服务考核评分细则见本文件要求。</w:t>
      </w:r>
    </w:p>
    <w:p w14:paraId="407C301C">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③履约保证金用于支付违约金被扣除完后。</w:t>
      </w:r>
    </w:p>
    <w:p w14:paraId="51AAC262">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④中标人在合同授予之后，</w:t>
      </w:r>
      <w:r>
        <w:rPr>
          <w:rFonts w:hint="eastAsia" w:ascii="宋体" w:hAnsi="宋体" w:eastAsia="宋体" w:cs="宋体"/>
          <w:b/>
          <w:bCs/>
          <w:sz w:val="24"/>
          <w:szCs w:val="24"/>
          <w:lang w:val="en-US" w:eastAsia="zh-CN"/>
        </w:rPr>
        <w:t>除消防和电梯外，其余</w:t>
      </w:r>
      <w:r>
        <w:rPr>
          <w:rFonts w:hint="eastAsia" w:ascii="宋体" w:hAnsi="宋体" w:eastAsia="宋体" w:cs="宋体"/>
          <w:b/>
          <w:bCs/>
          <w:sz w:val="24"/>
          <w:szCs w:val="24"/>
          <w:lang w:eastAsia="zh-CN"/>
        </w:rPr>
        <w:t>严禁分包，</w:t>
      </w:r>
      <w:r>
        <w:rPr>
          <w:rFonts w:hint="eastAsia" w:ascii="宋体" w:hAnsi="宋体" w:eastAsia="宋体" w:cs="宋体"/>
          <w:b/>
          <w:bCs/>
          <w:sz w:val="24"/>
          <w:szCs w:val="24"/>
          <w:lang w:val="en-US" w:eastAsia="zh-CN"/>
        </w:rPr>
        <w:t>严谨</w:t>
      </w:r>
      <w:r>
        <w:rPr>
          <w:rFonts w:hint="eastAsia" w:ascii="宋体" w:hAnsi="宋体" w:eastAsia="宋体" w:cs="宋体"/>
          <w:b/>
          <w:bCs/>
          <w:sz w:val="24"/>
          <w:szCs w:val="24"/>
          <w:lang w:eastAsia="zh-CN"/>
        </w:rPr>
        <w:t>转包，在合同期间如发现此类现象将被视为违约，除解除合同外，履约保证金不予退还</w:t>
      </w:r>
    </w:p>
    <w:p w14:paraId="7759DA4E">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eastAsia" w:ascii="宋体" w:hAnsi="宋体" w:eastAsia="宋体" w:cs="宋体"/>
          <w:b/>
          <w:bCs/>
          <w:color w:val="7030A0"/>
          <w:sz w:val="24"/>
          <w:szCs w:val="24"/>
          <w:highlight w:val="yellow"/>
          <w:lang w:val="en-US" w:eastAsia="zh-CN"/>
        </w:rPr>
      </w:pPr>
      <w:r>
        <w:rPr>
          <w:rFonts w:hint="eastAsia" w:ascii="宋体" w:hAnsi="宋体" w:eastAsia="宋体" w:cs="宋体"/>
          <w:b/>
          <w:bCs/>
          <w:sz w:val="24"/>
          <w:szCs w:val="24"/>
          <w:lang w:eastAsia="zh-CN"/>
        </w:rPr>
        <w:t>⑤本文件明确要求的其他中标人违约行为，严重到需要解除合同的情形</w:t>
      </w:r>
    </w:p>
    <w:p w14:paraId="20C2681E">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3.承诺中标（成交）后购买公众责任险、电梯险、消防险等，在投标文件中提供承诺函，格式自拟。</w:t>
      </w:r>
    </w:p>
    <w:p w14:paraId="0B64E27A">
      <w:pPr>
        <w:pStyle w:val="5"/>
        <w:keepNext w:val="0"/>
        <w:keepLines w:val="0"/>
        <w:pageBreakBefore w:val="0"/>
        <w:numPr>
          <w:ilvl w:val="0"/>
          <w:numId w:val="0"/>
        </w:numPr>
        <w:kinsoku/>
        <w:wordWrap/>
        <w:overflowPunct/>
        <w:topLinePunct w:val="0"/>
        <w:autoSpaceDE/>
        <w:autoSpaceDN/>
        <w:bidi w:val="0"/>
        <w:adjustRightInd w:val="0"/>
        <w:snapToGrid w:val="0"/>
        <w:spacing w:after="0" w:line="360" w:lineRule="auto"/>
        <w:ind w:right="0" w:rightChars="0" w:firstLine="482" w:firstLineChars="200"/>
        <w:textAlignment w:val="auto"/>
        <w:rPr>
          <w:rFonts w:hint="eastAsia" w:ascii="宋体" w:hAnsi="宋体" w:eastAsia="宋体" w:cs="宋体"/>
          <w:b/>
          <w:bCs/>
          <w:color w:val="auto"/>
          <w:sz w:val="24"/>
          <w:szCs w:val="24"/>
          <w:highlight w:val="yellow"/>
          <w:lang w:val="en-US" w:eastAsia="zh-CN"/>
        </w:rPr>
      </w:pPr>
      <w:r>
        <w:rPr>
          <w:rFonts w:hint="eastAsia" w:ascii="宋体" w:hAnsi="宋体" w:eastAsia="宋体" w:cs="宋体"/>
          <w:b/>
          <w:bCs/>
          <w:color w:val="auto"/>
          <w:sz w:val="24"/>
          <w:szCs w:val="24"/>
          <w:highlight w:val="none"/>
          <w:lang w:val="en-US" w:eastAsia="zh-CN"/>
        </w:rPr>
        <w:t>4.投标文件中提供前期服务优化提升承诺：投标人须自行踏勘本项目现场现状，结合小区现有监控系统、门禁设施、绿化景观、景观水系等公共配套现状，在响应服务方案中编制完整的公共设施提质升级实施方案。上述提质升级实施方案属于投标人整体物业服务运营方案的组成部分，相关提质改造安排统筹纳入投标人自身长期经营规划，作为投标人提升服务品质的自主经营策略内容，属于本次采购的基础要求。后期中标人不得以此项提质升级规划为由，申请上调本项目物业服务收费标准。中标人须严格按照方案约定工期、施工标准完成全部改造内容，逾期未履约的，业主委员会有权依据合同约定扣除相应履约保证金。违约拒绝整改的，采购人有权解除合同。</w:t>
      </w:r>
    </w:p>
    <w:p w14:paraId="59D3298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b/>
          <w:bCs/>
          <w:color w:val="auto"/>
          <w:sz w:val="24"/>
          <w:szCs w:val="18"/>
          <w:highlight w:val="none"/>
          <w:lang w:eastAsia="zh-CN"/>
        </w:rPr>
      </w:pPr>
      <w:r>
        <w:rPr>
          <w:rFonts w:hint="eastAsia" w:ascii="宋体" w:hAnsi="宋体" w:eastAsia="宋体" w:cs="宋体"/>
          <w:b/>
          <w:bCs/>
          <w:color w:val="auto"/>
          <w:sz w:val="24"/>
          <w:szCs w:val="24"/>
          <w:highlight w:val="none"/>
          <w:lang w:val="en-US" w:eastAsia="zh-CN"/>
        </w:rPr>
        <w:t>5.投标人提供承诺函，接受本次采购需求的所有要求并执行，格式自拟。</w:t>
      </w:r>
    </w:p>
    <w:p w14:paraId="4E5307E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18"/>
          <w:highlight w:val="none"/>
          <w:lang w:eastAsia="zh-CN"/>
        </w:rPr>
      </w:pPr>
    </w:p>
    <w:p w14:paraId="6508EFD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18"/>
          <w:highlight w:val="none"/>
          <w:lang w:eastAsia="zh-CN"/>
        </w:rPr>
      </w:pPr>
    </w:p>
    <w:p w14:paraId="5E8401B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18"/>
          <w:highlight w:val="none"/>
          <w:lang w:eastAsia="zh-CN"/>
        </w:rPr>
      </w:pPr>
    </w:p>
    <w:p w14:paraId="6C16961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18"/>
          <w:highlight w:val="none"/>
          <w:lang w:eastAsia="zh-CN"/>
        </w:rPr>
      </w:pPr>
    </w:p>
    <w:p w14:paraId="79D34893">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b/>
          <w:color w:val="auto"/>
          <w:sz w:val="28"/>
          <w:highlight w:val="none"/>
        </w:rPr>
        <w:br w:type="page"/>
      </w:r>
    </w:p>
    <w:p w14:paraId="441FF669">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0"/>
        <w:rPr>
          <w:rStyle w:val="19"/>
          <w:rFonts w:hint="eastAsia" w:asciiTheme="minorEastAsia" w:hAnsiTheme="minorEastAsia" w:eastAsiaTheme="minorEastAsia" w:cstheme="minorEastAsia"/>
          <w:color w:val="auto"/>
          <w:kern w:val="44"/>
          <w:sz w:val="44"/>
          <w:szCs w:val="44"/>
          <w:highlight w:val="none"/>
          <w:lang w:val="en-US" w:eastAsia="zh-CN" w:bidi="ar-SA"/>
        </w:rPr>
      </w:pPr>
      <w:bookmarkStart w:id="132" w:name="_Toc18914"/>
      <w:bookmarkStart w:id="133" w:name="_Toc30824"/>
      <w:bookmarkStart w:id="134" w:name="_Toc19036"/>
      <w:r>
        <w:rPr>
          <w:rStyle w:val="19"/>
          <w:rFonts w:hint="eastAsia" w:asciiTheme="minorEastAsia" w:hAnsiTheme="minorEastAsia" w:eastAsiaTheme="minorEastAsia" w:cstheme="minorEastAsia"/>
          <w:color w:val="auto"/>
          <w:kern w:val="44"/>
          <w:sz w:val="44"/>
          <w:szCs w:val="44"/>
          <w:highlight w:val="none"/>
          <w:lang w:val="en-US" w:eastAsia="zh-CN" w:bidi="ar-SA"/>
        </w:rPr>
        <w:t>第四章  评标方法和标准（综合评分法）</w:t>
      </w:r>
      <w:bookmarkEnd w:id="132"/>
      <w:bookmarkEnd w:id="133"/>
      <w:bookmarkEnd w:id="134"/>
    </w:p>
    <w:p w14:paraId="441867DE">
      <w:pPr>
        <w:pageBreakBefore w:val="0"/>
        <w:kinsoku/>
        <w:overflowPunct/>
        <w:topLinePunct w:val="0"/>
        <w:bidi w:val="0"/>
        <w:spacing w:line="360" w:lineRule="auto"/>
        <w:ind w:left="0" w:leftChars="0" w:right="0" w:rightChars="0" w:firstLine="437"/>
        <w:textAlignment w:val="auto"/>
        <w:outlineLvl w:val="1"/>
        <w:rPr>
          <w:rFonts w:hint="eastAsia" w:asciiTheme="minorEastAsia" w:hAnsiTheme="minorEastAsia" w:eastAsiaTheme="minorEastAsia" w:cstheme="minorEastAsia"/>
          <w:b/>
          <w:color w:val="auto"/>
          <w:sz w:val="24"/>
          <w:highlight w:val="none"/>
        </w:rPr>
      </w:pPr>
      <w:bookmarkStart w:id="135" w:name="_Toc4705"/>
      <w:bookmarkStart w:id="136" w:name="_Toc11823"/>
      <w:bookmarkStart w:id="137" w:name="_Toc10957"/>
      <w:r>
        <w:rPr>
          <w:rFonts w:hint="eastAsia" w:asciiTheme="minorEastAsia" w:hAnsiTheme="minorEastAsia" w:eastAsiaTheme="minorEastAsia" w:cstheme="minorEastAsia"/>
          <w:b/>
          <w:color w:val="auto"/>
          <w:sz w:val="24"/>
          <w:highlight w:val="none"/>
        </w:rPr>
        <w:t>一、总则</w:t>
      </w:r>
      <w:bookmarkEnd w:id="135"/>
      <w:bookmarkEnd w:id="136"/>
      <w:bookmarkEnd w:id="137"/>
    </w:p>
    <w:p w14:paraId="220E692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本项目将按照招标文件第二章 投标人须知的相关要求及本章的规定评标。</w:t>
      </w:r>
    </w:p>
    <w:p w14:paraId="1B478955">
      <w:pPr>
        <w:pageBreakBefore w:val="0"/>
        <w:kinsoku/>
        <w:overflowPunct/>
        <w:topLinePunct w:val="0"/>
        <w:bidi w:val="0"/>
        <w:spacing w:line="360" w:lineRule="auto"/>
        <w:ind w:left="0" w:leftChars="0" w:right="0" w:rightChars="0" w:firstLine="437"/>
        <w:textAlignment w:val="auto"/>
        <w:outlineLvl w:val="1"/>
        <w:rPr>
          <w:rFonts w:hint="eastAsia" w:asciiTheme="minorEastAsia" w:hAnsiTheme="minorEastAsia" w:eastAsiaTheme="minorEastAsia" w:cstheme="minorEastAsia"/>
          <w:b/>
          <w:color w:val="auto"/>
          <w:sz w:val="24"/>
          <w:highlight w:val="none"/>
        </w:rPr>
      </w:pPr>
      <w:bookmarkStart w:id="138" w:name="_Toc31871"/>
      <w:bookmarkStart w:id="139" w:name="_Toc200"/>
      <w:bookmarkStart w:id="140" w:name="_Toc32410"/>
      <w:r>
        <w:rPr>
          <w:rFonts w:hint="eastAsia" w:asciiTheme="minorEastAsia" w:hAnsiTheme="minorEastAsia" w:eastAsiaTheme="minorEastAsia" w:cstheme="minorEastAsia"/>
          <w:b/>
          <w:color w:val="auto"/>
          <w:sz w:val="24"/>
          <w:highlight w:val="none"/>
        </w:rPr>
        <w:t>二、评标方法</w:t>
      </w:r>
      <w:bookmarkEnd w:id="138"/>
      <w:bookmarkEnd w:id="139"/>
      <w:bookmarkEnd w:id="140"/>
    </w:p>
    <w:p w14:paraId="043DD5CE">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2.1资格审查</w:t>
      </w:r>
    </w:p>
    <w:p w14:paraId="66F860C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依据政府采购相关法律法规规定</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由采购人或采购代理机构对投标人进行资格审查。资格审查表如下：</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50"/>
        <w:gridCol w:w="4833"/>
        <w:gridCol w:w="2000"/>
      </w:tblGrid>
      <w:tr w14:paraId="0956D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774CC0D1">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szCs w:val="22"/>
                <w:highlight w:val="none"/>
              </w:rPr>
              <w:t>资格审查表</w:t>
            </w:r>
          </w:p>
        </w:tc>
      </w:tr>
      <w:tr w14:paraId="5C16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67D2EC47">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942" w:type="pct"/>
            <w:tcBorders>
              <w:bottom w:val="single" w:color="auto" w:sz="4" w:space="0"/>
            </w:tcBorders>
            <w:vAlign w:val="center"/>
          </w:tcPr>
          <w:p w14:paraId="7E01AA94">
            <w:pPr>
              <w:pStyle w:val="21"/>
              <w:pageBreakBefore w:val="0"/>
              <w:pBdr>
                <w:bottom w:val="none" w:color="auto" w:sz="0" w:space="0"/>
              </w:pBdr>
              <w:tabs>
                <w:tab w:val="clear" w:pos="4153"/>
                <w:tab w:val="clear" w:pos="8306"/>
              </w:tabs>
              <w:kinsoku/>
              <w:overflowPunct/>
              <w:topLinePunct w:val="0"/>
              <w:bidi w:val="0"/>
              <w:snapToGrid w:val="0"/>
              <w:spacing w:line="360" w:lineRule="auto"/>
              <w:ind w:left="0" w:leftChars="0" w:right="0" w:rightChars="0"/>
              <w:textAlignment w:val="auto"/>
              <w:rPr>
                <w:rFonts w:hint="eastAsia" w:asciiTheme="minorEastAsia" w:hAnsiTheme="minorEastAsia" w:eastAsiaTheme="minorEastAsia" w:cstheme="minorEastAsia"/>
                <w:color w:val="auto"/>
                <w:kern w:val="2"/>
                <w:szCs w:val="24"/>
                <w:highlight w:val="none"/>
                <w:lang w:val="en-US"/>
              </w:rPr>
            </w:pPr>
            <w:r>
              <w:rPr>
                <w:rFonts w:hint="eastAsia" w:asciiTheme="minorEastAsia" w:hAnsiTheme="minorEastAsia" w:eastAsiaTheme="minorEastAsia" w:cstheme="minorEastAsia"/>
                <w:color w:val="auto"/>
                <w:kern w:val="2"/>
                <w:szCs w:val="24"/>
                <w:highlight w:val="none"/>
                <w:lang w:val="en-US" w:eastAsia="zh-CN"/>
              </w:rPr>
              <w:t>审查因素</w:t>
            </w:r>
          </w:p>
        </w:tc>
        <w:tc>
          <w:tcPr>
            <w:tcW w:w="2602" w:type="pct"/>
            <w:tcBorders>
              <w:bottom w:val="single" w:color="auto" w:sz="4" w:space="0"/>
            </w:tcBorders>
            <w:vAlign w:val="center"/>
          </w:tcPr>
          <w:p w14:paraId="66322813">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审查内容</w:t>
            </w:r>
          </w:p>
        </w:tc>
        <w:tc>
          <w:tcPr>
            <w:tcW w:w="1076" w:type="pct"/>
            <w:tcBorders>
              <w:bottom w:val="single" w:color="auto" w:sz="4" w:space="0"/>
            </w:tcBorders>
            <w:vAlign w:val="center"/>
          </w:tcPr>
          <w:p w14:paraId="2B01F46B">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格式要求</w:t>
            </w:r>
          </w:p>
        </w:tc>
      </w:tr>
      <w:tr w14:paraId="0681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9" w:type="pct"/>
            <w:tcBorders>
              <w:bottom w:val="single" w:color="auto" w:sz="4" w:space="0"/>
            </w:tcBorders>
            <w:vAlign w:val="center"/>
          </w:tcPr>
          <w:p w14:paraId="327E3737">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kern w:val="2"/>
                <w:sz w:val="24"/>
                <w:highlight w:val="none"/>
                <w:lang w:val="en-US" w:eastAsia="zh-CN" w:bidi="ar-SA"/>
              </w:rPr>
            </w:pPr>
            <w:r>
              <w:rPr>
                <w:rFonts w:hint="eastAsia" w:asciiTheme="minorEastAsia" w:hAnsiTheme="minorEastAsia" w:eastAsiaTheme="minorEastAsia" w:cstheme="minorEastAsia"/>
                <w:color w:val="auto"/>
                <w:sz w:val="24"/>
                <w:highlight w:val="none"/>
              </w:rPr>
              <w:t>1</w:t>
            </w:r>
          </w:p>
        </w:tc>
        <w:tc>
          <w:tcPr>
            <w:tcW w:w="942" w:type="pct"/>
            <w:tcBorders>
              <w:bottom w:val="single" w:color="auto" w:sz="4" w:space="0"/>
            </w:tcBorders>
            <w:vAlign w:val="center"/>
          </w:tcPr>
          <w:p w14:paraId="77541EA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kern w:val="2"/>
                <w:sz w:val="24"/>
                <w:szCs w:val="28"/>
                <w:highlight w:val="none"/>
                <w:lang w:val="en-US" w:eastAsia="zh-CN" w:bidi="ar-SA"/>
              </w:rPr>
            </w:pPr>
            <w:r>
              <w:rPr>
                <w:rFonts w:hint="eastAsia" w:asciiTheme="minorEastAsia" w:hAnsiTheme="minorEastAsia" w:eastAsiaTheme="minorEastAsia" w:cstheme="minorEastAsia"/>
                <w:color w:val="auto"/>
                <w:spacing w:val="9"/>
                <w:sz w:val="24"/>
                <w:szCs w:val="24"/>
                <w:highlight w:val="none"/>
              </w:rPr>
              <w:t>营业执照等证明</w:t>
            </w:r>
            <w:r>
              <w:rPr>
                <w:rFonts w:hint="eastAsia" w:asciiTheme="minorEastAsia" w:hAnsiTheme="minorEastAsia" w:eastAsiaTheme="minorEastAsia" w:cstheme="minorEastAsia"/>
                <w:color w:val="auto"/>
                <w:spacing w:val="-3"/>
                <w:sz w:val="24"/>
                <w:szCs w:val="24"/>
                <w:highlight w:val="none"/>
              </w:rPr>
              <w:t>文件</w:t>
            </w:r>
          </w:p>
        </w:tc>
        <w:tc>
          <w:tcPr>
            <w:tcW w:w="2602" w:type="pct"/>
            <w:tcBorders>
              <w:bottom w:val="single" w:color="auto" w:sz="4" w:space="0"/>
            </w:tcBorders>
            <w:vAlign w:val="center"/>
          </w:tcPr>
          <w:p w14:paraId="738794A3">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1</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投标人为企业（包括合伙企业）的，应</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供有效的营业执照；</w:t>
            </w:r>
          </w:p>
          <w:p w14:paraId="1DC42207">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投标人为事业单位的，应</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供有效的事业单位法人证书；</w:t>
            </w:r>
          </w:p>
          <w:p w14:paraId="0D0E640B">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投标人是非企业机构的，应</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供有效的执业许可证</w:t>
            </w:r>
            <w:r>
              <w:rPr>
                <w:rFonts w:hint="eastAsia" w:asciiTheme="minorEastAsia" w:hAnsiTheme="minorEastAsia" w:eastAsiaTheme="minorEastAsia" w:cstheme="minorEastAsia"/>
                <w:color w:val="auto"/>
                <w:sz w:val="24"/>
                <w:szCs w:val="24"/>
                <w:highlight w:val="none"/>
                <w:lang w:val="en-US" w:eastAsia="zh-CN"/>
              </w:rPr>
              <w:t>或</w:t>
            </w:r>
            <w:r>
              <w:rPr>
                <w:rFonts w:hint="eastAsia" w:asciiTheme="minorEastAsia" w:hAnsiTheme="minorEastAsia" w:eastAsiaTheme="minorEastAsia" w:cstheme="minorEastAsia"/>
                <w:color w:val="auto"/>
                <w:sz w:val="24"/>
                <w:szCs w:val="24"/>
                <w:highlight w:val="none"/>
              </w:rPr>
              <w:t>登记证书等证明文件；</w:t>
            </w:r>
          </w:p>
          <w:p w14:paraId="7D21D48F">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投标人是个体工商户的，应</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供有效的个体工商户营业执照；</w:t>
            </w:r>
          </w:p>
          <w:p w14:paraId="617C2DB5">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投标人是自然人的，应</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供有效的自然人身份证明。</w:t>
            </w:r>
          </w:p>
          <w:p w14:paraId="4C2E8698">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kern w:val="2"/>
                <w:sz w:val="24"/>
                <w:szCs w:val="28"/>
                <w:highlight w:val="none"/>
                <w:lang w:val="en-US" w:eastAsia="zh-CN" w:bidi="ar-SA"/>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对于银行、保险、石油石化、电力、电信等行业的分公司参加投标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076" w:type="pct"/>
            <w:vAlign w:val="center"/>
          </w:tcPr>
          <w:p w14:paraId="0BCE42E9">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kern w:val="2"/>
                <w:sz w:val="24"/>
                <w:highlight w:val="none"/>
                <w:lang w:val="en-US" w:eastAsia="zh-CN" w:bidi="ar-SA"/>
              </w:rPr>
            </w:pPr>
            <w:r>
              <w:rPr>
                <w:rFonts w:hint="eastAsia" w:asciiTheme="minorEastAsia" w:hAnsiTheme="minorEastAsia" w:eastAsiaTheme="minorEastAsia" w:cstheme="minorEastAsia"/>
                <w:b w:val="0"/>
                <w:bCs w:val="0"/>
                <w:color w:val="auto"/>
                <w:sz w:val="24"/>
                <w:szCs w:val="24"/>
                <w:highlight w:val="none"/>
              </w:rPr>
              <w:t>提供</w:t>
            </w:r>
            <w:r>
              <w:rPr>
                <w:rFonts w:hint="eastAsia" w:asciiTheme="minorEastAsia" w:hAnsiTheme="minorEastAsia" w:eastAsiaTheme="minorEastAsia" w:cstheme="minorEastAsia"/>
                <w:b w:val="0"/>
                <w:bCs w:val="0"/>
                <w:color w:val="auto"/>
                <w:sz w:val="24"/>
                <w:szCs w:val="24"/>
                <w:highlight w:val="none"/>
                <w:lang w:val="en-US" w:eastAsia="zh-CN"/>
              </w:rPr>
              <w:t>材料</w:t>
            </w:r>
            <w:r>
              <w:rPr>
                <w:rFonts w:hint="eastAsia" w:asciiTheme="minorEastAsia" w:hAnsiTheme="minorEastAsia" w:eastAsiaTheme="minorEastAsia" w:cstheme="minorEastAsia"/>
                <w:b w:val="0"/>
                <w:bCs w:val="0"/>
                <w:color w:val="auto"/>
                <w:sz w:val="24"/>
                <w:szCs w:val="24"/>
                <w:highlight w:val="none"/>
                <w:lang w:eastAsia="zh-CN"/>
              </w:rPr>
              <w:t>复制件</w:t>
            </w:r>
            <w:r>
              <w:rPr>
                <w:rFonts w:hint="eastAsia" w:asciiTheme="minorEastAsia" w:hAnsiTheme="minorEastAsia" w:eastAsiaTheme="minorEastAsia" w:cstheme="minorEastAsia"/>
                <w:b w:val="0"/>
                <w:bCs w:val="0"/>
                <w:color w:val="auto"/>
                <w:sz w:val="24"/>
                <w:szCs w:val="24"/>
                <w:highlight w:val="none"/>
                <w:lang w:val="en-US" w:eastAsia="zh-CN"/>
              </w:rPr>
              <w:t>或电子证照</w:t>
            </w:r>
            <w:r>
              <w:rPr>
                <w:rFonts w:hint="eastAsia" w:asciiTheme="minorEastAsia" w:hAnsiTheme="minorEastAsia" w:eastAsiaTheme="minorEastAsia" w:cstheme="minorEastAsia"/>
                <w:b w:val="0"/>
                <w:bCs w:val="0"/>
                <w:color w:val="auto"/>
                <w:sz w:val="24"/>
                <w:szCs w:val="24"/>
                <w:highlight w:val="none"/>
              </w:rPr>
              <w:t>，应完整的体现出</w:t>
            </w:r>
            <w:r>
              <w:rPr>
                <w:rFonts w:hint="eastAsia" w:asciiTheme="minorEastAsia" w:hAnsiTheme="minorEastAsia" w:eastAsiaTheme="minorEastAsia" w:cstheme="minorEastAsia"/>
                <w:b w:val="0"/>
                <w:bCs w:val="0"/>
                <w:color w:val="auto"/>
                <w:sz w:val="24"/>
                <w:szCs w:val="24"/>
                <w:highlight w:val="none"/>
                <w:lang w:val="en-US" w:eastAsia="zh-CN"/>
              </w:rPr>
              <w:t>材料或电子证照</w:t>
            </w:r>
            <w:r>
              <w:rPr>
                <w:rFonts w:hint="eastAsia" w:asciiTheme="minorEastAsia" w:hAnsiTheme="minorEastAsia" w:eastAsiaTheme="minorEastAsia" w:cstheme="minorEastAsia"/>
                <w:b w:val="0"/>
                <w:bCs w:val="0"/>
                <w:color w:val="auto"/>
                <w:sz w:val="24"/>
                <w:szCs w:val="24"/>
                <w:highlight w:val="none"/>
              </w:rPr>
              <w:t>全部内容。联合体投标的联合体各方均须提供。</w:t>
            </w:r>
          </w:p>
        </w:tc>
      </w:tr>
      <w:tr w14:paraId="725D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9" w:type="pct"/>
            <w:tcBorders>
              <w:bottom w:val="single" w:color="auto" w:sz="4" w:space="0"/>
            </w:tcBorders>
            <w:vAlign w:val="center"/>
          </w:tcPr>
          <w:p w14:paraId="52959662">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w:t>
            </w:r>
          </w:p>
        </w:tc>
        <w:tc>
          <w:tcPr>
            <w:tcW w:w="942" w:type="pct"/>
            <w:tcBorders>
              <w:bottom w:val="single" w:color="auto" w:sz="4" w:space="0"/>
            </w:tcBorders>
            <w:vAlign w:val="center"/>
          </w:tcPr>
          <w:p w14:paraId="2FD3199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lang w:val="en-US"/>
              </w:rPr>
            </w:pPr>
            <w:r>
              <w:rPr>
                <w:rFonts w:hint="eastAsia" w:asciiTheme="minorEastAsia" w:hAnsiTheme="minorEastAsia" w:eastAsiaTheme="minorEastAsia" w:cstheme="minorEastAsia"/>
                <w:color w:val="auto"/>
                <w:sz w:val="24"/>
                <w:szCs w:val="18"/>
                <w:highlight w:val="none"/>
                <w:lang w:val="en-US" w:eastAsia="zh-CN"/>
              </w:rPr>
              <w:t>投标人资格声明书</w:t>
            </w:r>
          </w:p>
        </w:tc>
        <w:tc>
          <w:tcPr>
            <w:tcW w:w="2602" w:type="pct"/>
            <w:tcBorders>
              <w:bottom w:val="single" w:color="auto" w:sz="4" w:space="0"/>
            </w:tcBorders>
            <w:vAlign w:val="center"/>
          </w:tcPr>
          <w:p w14:paraId="00B3F504">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供符合招标文件要求的《投标人资格声明书》</w:t>
            </w:r>
            <w:r>
              <w:rPr>
                <w:rFonts w:hint="eastAsia" w:asciiTheme="minorEastAsia" w:hAnsiTheme="minorEastAsia" w:eastAsiaTheme="minorEastAsia" w:cstheme="minorEastAsia"/>
                <w:color w:val="auto"/>
                <w:sz w:val="24"/>
                <w:szCs w:val="24"/>
                <w:highlight w:val="none"/>
                <w:lang w:eastAsia="zh-CN"/>
              </w:rPr>
              <w:t>。</w:t>
            </w:r>
          </w:p>
        </w:tc>
        <w:tc>
          <w:tcPr>
            <w:tcW w:w="1076" w:type="pct"/>
            <w:vAlign w:val="center"/>
          </w:tcPr>
          <w:p w14:paraId="7F65091D">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color w:val="auto"/>
                <w:sz w:val="24"/>
                <w:highlight w:val="none"/>
              </w:rPr>
              <w:t>详见第六章投标文件格式</w:t>
            </w:r>
            <w:r>
              <w:rPr>
                <w:rFonts w:hint="eastAsia" w:asciiTheme="minorEastAsia" w:hAnsiTheme="minorEastAsia" w:eastAsiaTheme="minorEastAsia" w:cstheme="minorEastAsia"/>
                <w:color w:val="auto"/>
                <w:sz w:val="24"/>
                <w:highlight w:val="none"/>
                <w:lang w:eastAsia="zh-CN"/>
              </w:rPr>
              <w:t>。</w:t>
            </w:r>
          </w:p>
        </w:tc>
      </w:tr>
      <w:tr w14:paraId="4B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tcBorders>
              <w:bottom w:val="single" w:color="auto" w:sz="4" w:space="0"/>
            </w:tcBorders>
            <w:vAlign w:val="center"/>
          </w:tcPr>
          <w:p w14:paraId="46993E19">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w:t>
            </w:r>
          </w:p>
        </w:tc>
        <w:tc>
          <w:tcPr>
            <w:tcW w:w="942" w:type="pct"/>
            <w:tcBorders>
              <w:bottom w:val="single" w:color="auto" w:sz="4" w:space="0"/>
            </w:tcBorders>
            <w:vAlign w:val="center"/>
          </w:tcPr>
          <w:p w14:paraId="5CB56B8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rPr>
              <w:t>投标人信用记录</w:t>
            </w:r>
          </w:p>
        </w:tc>
        <w:tc>
          <w:tcPr>
            <w:tcW w:w="2602" w:type="pct"/>
            <w:tcBorders>
              <w:bottom w:val="single" w:color="auto" w:sz="4" w:space="0"/>
            </w:tcBorders>
            <w:vAlign w:val="center"/>
          </w:tcPr>
          <w:p w14:paraId="3EF5B2D0">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lang w:val="zh-CN" w:eastAsia="zh-CN"/>
              </w:rPr>
              <w:t>投标人不得存在投标人须知正文第1</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lang w:val="zh-CN" w:eastAsia="zh-CN"/>
              </w:rPr>
              <w:t>.2</w:t>
            </w:r>
            <w:r>
              <w:rPr>
                <w:rFonts w:hint="eastAsia" w:asciiTheme="minorEastAsia" w:hAnsiTheme="minorEastAsia" w:eastAsiaTheme="minorEastAsia" w:cstheme="minorEastAsia"/>
                <w:color w:val="auto"/>
                <w:sz w:val="24"/>
                <w:szCs w:val="24"/>
                <w:highlight w:val="none"/>
                <w:lang w:val="en-US" w:eastAsia="zh-CN"/>
              </w:rPr>
              <w:t>条中</w:t>
            </w:r>
            <w:r>
              <w:rPr>
                <w:rFonts w:hint="eastAsia" w:asciiTheme="minorEastAsia" w:hAnsiTheme="minorEastAsia" w:eastAsiaTheme="minorEastAsia" w:cstheme="minorEastAsia"/>
                <w:color w:val="auto"/>
                <w:sz w:val="24"/>
                <w:szCs w:val="28"/>
                <w:highlight w:val="none"/>
              </w:rPr>
              <w:t>的</w:t>
            </w:r>
            <w:r>
              <w:rPr>
                <w:rFonts w:hint="eastAsia" w:asciiTheme="minorEastAsia" w:hAnsiTheme="minorEastAsia" w:eastAsiaTheme="minorEastAsia" w:cstheme="minorEastAsia"/>
                <w:color w:val="auto"/>
                <w:sz w:val="24"/>
                <w:szCs w:val="18"/>
                <w:highlight w:val="none"/>
              </w:rPr>
              <w:t>不良信用记录情形</w:t>
            </w:r>
          </w:p>
        </w:tc>
        <w:tc>
          <w:tcPr>
            <w:tcW w:w="1076" w:type="pct"/>
            <w:tcBorders>
              <w:bottom w:val="single" w:color="auto" w:sz="4" w:space="0"/>
            </w:tcBorders>
            <w:vAlign w:val="center"/>
          </w:tcPr>
          <w:p w14:paraId="104A331C">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kern w:val="2"/>
                <w:sz w:val="21"/>
                <w:highlight w:val="none"/>
                <w:lang w:val="en-US" w:eastAsia="zh-CN" w:bidi="ar-SA"/>
              </w:rPr>
            </w:pPr>
            <w:r>
              <w:rPr>
                <w:rFonts w:hint="eastAsia" w:asciiTheme="minorEastAsia" w:hAnsiTheme="minorEastAsia" w:eastAsiaTheme="minorEastAsia" w:cstheme="minorEastAsia"/>
                <w:color w:val="auto"/>
                <w:sz w:val="24"/>
                <w:szCs w:val="24"/>
                <w:highlight w:val="none"/>
              </w:rPr>
              <w:t>无须投标人</w:t>
            </w:r>
            <w:r>
              <w:rPr>
                <w:rFonts w:hint="eastAsia" w:asciiTheme="minorEastAsia" w:hAnsiTheme="minorEastAsia" w:eastAsiaTheme="minorEastAsia" w:cstheme="minorEastAsia"/>
                <w:color w:val="auto"/>
                <w:sz w:val="24"/>
                <w:szCs w:val="24"/>
                <w:highlight w:val="none"/>
                <w:lang w:val="en-US" w:eastAsia="zh-CN"/>
              </w:rPr>
              <w:t>提</w:t>
            </w:r>
            <w:r>
              <w:rPr>
                <w:rFonts w:hint="eastAsia" w:asciiTheme="minorEastAsia" w:hAnsiTheme="minorEastAsia" w:eastAsiaTheme="minorEastAsia" w:cstheme="minorEastAsia"/>
                <w:color w:val="auto"/>
                <w:sz w:val="24"/>
                <w:szCs w:val="24"/>
                <w:highlight w:val="none"/>
              </w:rPr>
              <w:t>供，由采购人或采购代理机构查询。</w:t>
            </w:r>
          </w:p>
        </w:tc>
      </w:tr>
      <w:tr w14:paraId="49A5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 w:type="pct"/>
            <w:vAlign w:val="center"/>
          </w:tcPr>
          <w:p w14:paraId="6772F4A8">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kern w:val="2"/>
                <w:sz w:val="24"/>
                <w:highlight w:val="none"/>
                <w:lang w:val="en-US" w:eastAsia="zh-CN" w:bidi="ar-SA"/>
              </w:rPr>
            </w:pPr>
            <w:r>
              <w:rPr>
                <w:rFonts w:hint="eastAsia" w:asciiTheme="minorEastAsia" w:hAnsiTheme="minorEastAsia" w:eastAsiaTheme="minorEastAsia" w:cstheme="minorEastAsia"/>
                <w:color w:val="auto"/>
                <w:sz w:val="24"/>
                <w:highlight w:val="none"/>
                <w:lang w:val="en-US" w:eastAsia="zh-CN"/>
              </w:rPr>
              <w:t>8</w:t>
            </w:r>
          </w:p>
        </w:tc>
        <w:tc>
          <w:tcPr>
            <w:tcW w:w="942" w:type="pct"/>
            <w:vAlign w:val="center"/>
          </w:tcPr>
          <w:p w14:paraId="5D1776A7">
            <w:pPr>
              <w:pageBreakBefore w:val="0"/>
              <w:kinsoku/>
              <w:overflowPunct/>
              <w:topLinePunct w:val="0"/>
              <w:bidi w:val="0"/>
              <w:spacing w:line="360" w:lineRule="auto"/>
              <w:ind w:left="0" w:leftChars="0" w:right="0" w:rightChars="0"/>
              <w:jc w:val="both"/>
              <w:textAlignment w:val="auto"/>
              <w:rPr>
                <w:rFonts w:hint="eastAsia" w:asciiTheme="minorEastAsia" w:hAnsiTheme="minorEastAsia" w:eastAsiaTheme="minorEastAsia" w:cstheme="minorEastAsia"/>
                <w:color w:val="auto"/>
                <w:spacing w:val="10"/>
                <w:sz w:val="24"/>
                <w:szCs w:val="24"/>
                <w:highlight w:val="none"/>
                <w:lang w:val="en-US" w:eastAsia="zh-CN"/>
              </w:rPr>
            </w:pPr>
            <w:r>
              <w:rPr>
                <w:rFonts w:hint="eastAsia" w:asciiTheme="minorEastAsia" w:hAnsiTheme="minorEastAsia" w:eastAsiaTheme="minorEastAsia" w:cstheme="minorEastAsia"/>
                <w:color w:val="auto"/>
                <w:spacing w:val="10"/>
                <w:sz w:val="24"/>
                <w:szCs w:val="24"/>
                <w:highlight w:val="none"/>
              </w:rPr>
              <w:t>其他特定资格要求</w:t>
            </w:r>
          </w:p>
        </w:tc>
        <w:tc>
          <w:tcPr>
            <w:tcW w:w="2602" w:type="pct"/>
            <w:vAlign w:val="center"/>
          </w:tcPr>
          <w:p w14:paraId="1C59E3F5">
            <w:pPr>
              <w:pageBreakBefore w:val="0"/>
              <w:kinsoku/>
              <w:overflowPunct/>
              <w:topLinePunct w:val="0"/>
              <w:bidi w:val="0"/>
              <w:spacing w:line="360" w:lineRule="auto"/>
              <w:ind w:left="0" w:leftChars="0" w:right="0" w:rightChars="0"/>
              <w:jc w:val="both"/>
              <w:textAlignment w:val="auto"/>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color w:val="auto"/>
                <w:spacing w:val="10"/>
                <w:sz w:val="24"/>
                <w:szCs w:val="24"/>
                <w:highlight w:val="none"/>
              </w:rPr>
              <w:t>如有，见第一章</w:t>
            </w:r>
            <w:r>
              <w:rPr>
                <w:rFonts w:hint="eastAsia" w:asciiTheme="minorEastAsia" w:hAnsiTheme="minorEastAsia" w:eastAsiaTheme="minorEastAsia" w:cstheme="minorEastAsia"/>
                <w:color w:val="auto"/>
                <w:spacing w:val="10"/>
                <w:sz w:val="24"/>
                <w:szCs w:val="24"/>
                <w:highlight w:val="none"/>
                <w:lang w:eastAsia="zh-CN"/>
              </w:rPr>
              <w:t>《</w:t>
            </w:r>
            <w:r>
              <w:rPr>
                <w:rFonts w:hint="eastAsia" w:asciiTheme="minorEastAsia" w:hAnsiTheme="minorEastAsia" w:eastAsiaTheme="minorEastAsia" w:cstheme="minorEastAsia"/>
                <w:color w:val="auto"/>
                <w:spacing w:val="10"/>
                <w:sz w:val="24"/>
                <w:szCs w:val="24"/>
                <w:highlight w:val="none"/>
                <w:lang w:val="en-US" w:eastAsia="zh-CN"/>
              </w:rPr>
              <w:t>招标公告</w:t>
            </w:r>
            <w:r>
              <w:rPr>
                <w:rFonts w:hint="eastAsia" w:asciiTheme="minorEastAsia" w:hAnsiTheme="minorEastAsia" w:eastAsiaTheme="minorEastAsia" w:cstheme="minorEastAsia"/>
                <w:color w:val="auto"/>
                <w:spacing w:val="10"/>
                <w:sz w:val="24"/>
                <w:szCs w:val="24"/>
                <w:highlight w:val="none"/>
                <w:lang w:eastAsia="zh-CN"/>
              </w:rPr>
              <w:t>》</w:t>
            </w:r>
          </w:p>
        </w:tc>
        <w:tc>
          <w:tcPr>
            <w:tcW w:w="1076" w:type="pct"/>
            <w:vAlign w:val="center"/>
          </w:tcPr>
          <w:p w14:paraId="340B7305">
            <w:pPr>
              <w:pageBreakBefore w:val="0"/>
              <w:kinsoku/>
              <w:overflowPunct/>
              <w:topLinePunct w:val="0"/>
              <w:bidi w:val="0"/>
              <w:spacing w:line="360" w:lineRule="auto"/>
              <w:ind w:left="0" w:leftChars="0" w:right="0" w:rightChars="0"/>
              <w:jc w:val="both"/>
              <w:textAlignment w:val="auto"/>
              <w:rPr>
                <w:rFonts w:hint="eastAsia" w:asciiTheme="minorEastAsia" w:hAnsiTheme="minorEastAsia" w:eastAsiaTheme="minorEastAsia" w:cstheme="minorEastAsia"/>
                <w:color w:val="auto"/>
                <w:spacing w:val="10"/>
                <w:sz w:val="24"/>
                <w:szCs w:val="24"/>
                <w:highlight w:val="none"/>
              </w:rPr>
            </w:pPr>
            <w:r>
              <w:rPr>
                <w:rFonts w:hint="eastAsia" w:asciiTheme="minorEastAsia" w:hAnsiTheme="minorEastAsia" w:eastAsiaTheme="minorEastAsia" w:cstheme="minorEastAsia"/>
                <w:b w:val="0"/>
                <w:bCs w:val="0"/>
                <w:color w:val="auto"/>
                <w:sz w:val="24"/>
                <w:szCs w:val="24"/>
                <w:highlight w:val="none"/>
              </w:rPr>
              <w:t>提供</w:t>
            </w:r>
            <w:r>
              <w:rPr>
                <w:rFonts w:hint="eastAsia" w:asciiTheme="minorEastAsia" w:hAnsiTheme="minorEastAsia" w:eastAsiaTheme="minorEastAsia" w:cstheme="minorEastAsia"/>
                <w:b w:val="0"/>
                <w:bCs w:val="0"/>
                <w:color w:val="auto"/>
                <w:sz w:val="24"/>
                <w:szCs w:val="24"/>
                <w:highlight w:val="none"/>
                <w:lang w:val="en-US" w:eastAsia="zh-CN"/>
              </w:rPr>
              <w:t>材料</w:t>
            </w:r>
            <w:r>
              <w:rPr>
                <w:rFonts w:hint="eastAsia" w:asciiTheme="minorEastAsia" w:hAnsiTheme="minorEastAsia" w:eastAsiaTheme="minorEastAsia" w:cstheme="minorEastAsia"/>
                <w:b w:val="0"/>
                <w:bCs w:val="0"/>
                <w:color w:val="auto"/>
                <w:sz w:val="24"/>
                <w:szCs w:val="24"/>
                <w:highlight w:val="none"/>
                <w:lang w:eastAsia="zh-CN"/>
              </w:rPr>
              <w:t>复制件</w:t>
            </w:r>
            <w:r>
              <w:rPr>
                <w:rFonts w:hint="eastAsia" w:asciiTheme="minorEastAsia" w:hAnsiTheme="minorEastAsia" w:eastAsiaTheme="minorEastAsia" w:cstheme="minorEastAsia"/>
                <w:b w:val="0"/>
                <w:bCs w:val="0"/>
                <w:color w:val="auto"/>
                <w:sz w:val="24"/>
                <w:szCs w:val="24"/>
                <w:highlight w:val="none"/>
                <w:lang w:val="en-US" w:eastAsia="zh-CN"/>
              </w:rPr>
              <w:t>或扫描件</w:t>
            </w:r>
            <w:r>
              <w:rPr>
                <w:rFonts w:hint="eastAsia" w:asciiTheme="minorEastAsia" w:hAnsiTheme="minorEastAsia" w:eastAsiaTheme="minorEastAsia" w:cstheme="minorEastAsia"/>
                <w:b w:val="0"/>
                <w:bCs w:val="0"/>
                <w:color w:val="auto"/>
                <w:sz w:val="24"/>
                <w:szCs w:val="24"/>
                <w:highlight w:val="none"/>
              </w:rPr>
              <w:t>，应完整的体现出</w:t>
            </w:r>
            <w:r>
              <w:rPr>
                <w:rFonts w:hint="eastAsia" w:asciiTheme="minorEastAsia" w:hAnsiTheme="minorEastAsia" w:eastAsiaTheme="minorEastAsia" w:cstheme="minorEastAsia"/>
                <w:b w:val="0"/>
                <w:bCs w:val="0"/>
                <w:color w:val="auto"/>
                <w:sz w:val="24"/>
                <w:szCs w:val="24"/>
                <w:highlight w:val="none"/>
                <w:lang w:val="en-US" w:eastAsia="zh-CN"/>
              </w:rPr>
              <w:t>材料</w:t>
            </w:r>
            <w:r>
              <w:rPr>
                <w:rFonts w:hint="eastAsia" w:asciiTheme="minorEastAsia" w:hAnsiTheme="minorEastAsia" w:eastAsiaTheme="minorEastAsia" w:cstheme="minorEastAsia"/>
                <w:b w:val="0"/>
                <w:bCs w:val="0"/>
                <w:color w:val="auto"/>
                <w:sz w:val="24"/>
                <w:szCs w:val="24"/>
                <w:highlight w:val="none"/>
              </w:rPr>
              <w:t>全部内容。</w:t>
            </w:r>
          </w:p>
        </w:tc>
      </w:tr>
    </w:tbl>
    <w:p w14:paraId="5E874C0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资格审查指标通过标准：</w:t>
      </w:r>
      <w:r>
        <w:rPr>
          <w:rFonts w:hint="eastAsia" w:asciiTheme="minorEastAsia" w:hAnsiTheme="minorEastAsia" w:eastAsiaTheme="minorEastAsia" w:cstheme="minorEastAsia"/>
          <w:color w:val="auto"/>
          <w:sz w:val="24"/>
          <w:highlight w:val="none"/>
        </w:rPr>
        <w:t>投标人必须通过资格审查表中的全部评审指标。</w:t>
      </w:r>
    </w:p>
    <w:p w14:paraId="4DF998F0">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color w:val="auto"/>
          <w:sz w:val="24"/>
          <w:highlight w:val="none"/>
        </w:rPr>
      </w:pPr>
      <w:bookmarkStart w:id="141" w:name="_Toc17374"/>
      <w:bookmarkStart w:id="142" w:name="_Toc20405"/>
      <w:r>
        <w:rPr>
          <w:rFonts w:hint="eastAsia" w:asciiTheme="minorEastAsia" w:hAnsiTheme="minorEastAsia" w:eastAsiaTheme="minorEastAsia" w:cstheme="minorEastAsia"/>
          <w:color w:val="auto"/>
          <w:sz w:val="24"/>
          <w:highlight w:val="none"/>
        </w:rPr>
        <w:t>2.2符合性审查</w:t>
      </w:r>
    </w:p>
    <w:p w14:paraId="0380723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评标委员会对通过资格审查的投标人的投标文件进行符合性审查，以确定其是否满足招标文件的实质性要求。符合性审查表如下：</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2307"/>
        <w:gridCol w:w="3405"/>
        <w:gridCol w:w="2745"/>
      </w:tblGrid>
      <w:tr w14:paraId="43889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47B52504">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符合性审查表</w:t>
            </w:r>
          </w:p>
        </w:tc>
      </w:tr>
      <w:tr w14:paraId="5DED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7" w:type="pct"/>
            <w:tcBorders>
              <w:bottom w:val="single" w:color="auto" w:sz="4" w:space="0"/>
            </w:tcBorders>
            <w:vAlign w:val="center"/>
          </w:tcPr>
          <w:p w14:paraId="4F259287">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1242" w:type="pct"/>
            <w:tcBorders>
              <w:bottom w:val="single" w:color="auto" w:sz="4" w:space="0"/>
            </w:tcBorders>
            <w:vAlign w:val="center"/>
          </w:tcPr>
          <w:p w14:paraId="26BE0A92">
            <w:pPr>
              <w:pStyle w:val="21"/>
              <w:pageBreakBefore w:val="0"/>
              <w:pBdr>
                <w:bottom w:val="none" w:color="auto" w:sz="0" w:space="0"/>
              </w:pBdr>
              <w:tabs>
                <w:tab w:val="clear" w:pos="4153"/>
                <w:tab w:val="clear" w:pos="8306"/>
              </w:tabs>
              <w:kinsoku/>
              <w:overflowPunct/>
              <w:topLinePunct w:val="0"/>
              <w:bidi w:val="0"/>
              <w:snapToGrid w:val="0"/>
              <w:spacing w:line="360" w:lineRule="auto"/>
              <w:ind w:left="0" w:leftChars="0" w:right="0" w:rightChars="0"/>
              <w:textAlignment w:val="auto"/>
              <w:rPr>
                <w:rFonts w:hint="eastAsia" w:asciiTheme="minorEastAsia" w:hAnsiTheme="minorEastAsia" w:eastAsiaTheme="minorEastAsia" w:cstheme="minorEastAsia"/>
                <w:color w:val="auto"/>
                <w:kern w:val="2"/>
                <w:sz w:val="24"/>
                <w:szCs w:val="20"/>
                <w:highlight w:val="none"/>
                <w:lang w:val="en-US" w:eastAsia="zh-CN" w:bidi="ar-SA"/>
              </w:rPr>
            </w:pPr>
            <w:r>
              <w:rPr>
                <w:rFonts w:hint="eastAsia" w:asciiTheme="minorEastAsia" w:hAnsiTheme="minorEastAsia" w:eastAsiaTheme="minorEastAsia" w:cstheme="minorEastAsia"/>
                <w:color w:val="auto"/>
                <w:kern w:val="2"/>
                <w:sz w:val="24"/>
                <w:szCs w:val="20"/>
                <w:highlight w:val="none"/>
                <w:lang w:val="en-US" w:eastAsia="zh-CN" w:bidi="ar-SA"/>
              </w:rPr>
              <w:t>审查指标</w:t>
            </w:r>
          </w:p>
        </w:tc>
        <w:tc>
          <w:tcPr>
            <w:tcW w:w="1833" w:type="pct"/>
            <w:tcBorders>
              <w:bottom w:val="single" w:color="auto" w:sz="4" w:space="0"/>
            </w:tcBorders>
            <w:vAlign w:val="center"/>
          </w:tcPr>
          <w:p w14:paraId="44EE64E2">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kern w:val="2"/>
                <w:sz w:val="24"/>
                <w:szCs w:val="20"/>
                <w:highlight w:val="none"/>
                <w:lang w:val="en-US" w:eastAsia="zh-CN" w:bidi="ar-SA"/>
              </w:rPr>
            </w:pPr>
            <w:r>
              <w:rPr>
                <w:rFonts w:hint="eastAsia" w:asciiTheme="minorEastAsia" w:hAnsiTheme="minorEastAsia" w:eastAsiaTheme="minorEastAsia" w:cstheme="minorEastAsia"/>
                <w:color w:val="auto"/>
                <w:kern w:val="2"/>
                <w:sz w:val="24"/>
                <w:szCs w:val="20"/>
                <w:highlight w:val="none"/>
                <w:lang w:val="en-US" w:eastAsia="zh-CN" w:bidi="ar-SA"/>
              </w:rPr>
              <w:t>审查标准</w:t>
            </w:r>
          </w:p>
        </w:tc>
        <w:tc>
          <w:tcPr>
            <w:tcW w:w="1476" w:type="pct"/>
            <w:tcBorders>
              <w:bottom w:val="single" w:color="auto" w:sz="4" w:space="0"/>
            </w:tcBorders>
            <w:vAlign w:val="center"/>
          </w:tcPr>
          <w:p w14:paraId="6536F961">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格式要求</w:t>
            </w:r>
          </w:p>
        </w:tc>
      </w:tr>
      <w:tr w14:paraId="08B7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3934A387">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242" w:type="pct"/>
            <w:vAlign w:val="center"/>
          </w:tcPr>
          <w:p w14:paraId="4C16832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rPr>
              <w:t>开标一览表</w:t>
            </w:r>
          </w:p>
        </w:tc>
        <w:tc>
          <w:tcPr>
            <w:tcW w:w="1833" w:type="pct"/>
            <w:vAlign w:val="center"/>
          </w:tcPr>
          <w:p w14:paraId="0EC612A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格式、填写要求符合招标文件规定并加盖投标人签章</w:t>
            </w:r>
          </w:p>
        </w:tc>
        <w:tc>
          <w:tcPr>
            <w:tcW w:w="1476" w:type="pct"/>
            <w:vAlign w:val="center"/>
          </w:tcPr>
          <w:p w14:paraId="23771A56">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详见第六章投标文件格式</w:t>
            </w:r>
            <w:r>
              <w:rPr>
                <w:rFonts w:hint="eastAsia" w:asciiTheme="minorEastAsia" w:hAnsiTheme="minorEastAsia" w:eastAsiaTheme="minorEastAsia" w:cstheme="minorEastAsia"/>
                <w:color w:val="auto"/>
                <w:sz w:val="24"/>
                <w:highlight w:val="none"/>
                <w:lang w:eastAsia="zh-CN"/>
              </w:rPr>
              <w:t>。</w:t>
            </w:r>
          </w:p>
        </w:tc>
      </w:tr>
      <w:tr w14:paraId="77D5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222C5707">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1242" w:type="pct"/>
            <w:vAlign w:val="center"/>
          </w:tcPr>
          <w:p w14:paraId="45057B3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投标函</w:t>
            </w:r>
          </w:p>
        </w:tc>
        <w:tc>
          <w:tcPr>
            <w:tcW w:w="1833" w:type="pct"/>
            <w:vAlign w:val="center"/>
          </w:tcPr>
          <w:p w14:paraId="609D926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格式、填写要求符合招标文件规定并加盖投标人签章</w:t>
            </w:r>
          </w:p>
        </w:tc>
        <w:tc>
          <w:tcPr>
            <w:tcW w:w="1476" w:type="pct"/>
            <w:vAlign w:val="center"/>
          </w:tcPr>
          <w:p w14:paraId="79D6B15D">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详见第六章投标文件格式</w:t>
            </w:r>
            <w:r>
              <w:rPr>
                <w:rFonts w:hint="eastAsia" w:asciiTheme="minorEastAsia" w:hAnsiTheme="minorEastAsia" w:eastAsiaTheme="minorEastAsia" w:cstheme="minorEastAsia"/>
                <w:color w:val="auto"/>
                <w:sz w:val="24"/>
                <w:highlight w:val="none"/>
                <w:lang w:eastAsia="zh-CN"/>
              </w:rPr>
              <w:t>。</w:t>
            </w:r>
          </w:p>
        </w:tc>
      </w:tr>
      <w:tr w14:paraId="3AD0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1B7D0973">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1242" w:type="pct"/>
            <w:vAlign w:val="center"/>
          </w:tcPr>
          <w:p w14:paraId="4F92750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授权书</w:t>
            </w:r>
          </w:p>
        </w:tc>
        <w:tc>
          <w:tcPr>
            <w:tcW w:w="1833" w:type="pct"/>
            <w:vAlign w:val="center"/>
          </w:tcPr>
          <w:p w14:paraId="6DC8B87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格式、填写要求符合招标文件规定并加盖投标人签章</w:t>
            </w:r>
          </w:p>
        </w:tc>
        <w:tc>
          <w:tcPr>
            <w:tcW w:w="1476" w:type="pct"/>
            <w:vAlign w:val="center"/>
          </w:tcPr>
          <w:p w14:paraId="60F1BB3B">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stheme="minorEastAsia"/>
                <w:color w:val="auto"/>
                <w:sz w:val="24"/>
                <w:highlight w:val="none"/>
                <w:lang w:eastAsia="zh-CN"/>
              </w:rPr>
              <w:t>。</w:t>
            </w:r>
          </w:p>
        </w:tc>
      </w:tr>
      <w:tr w14:paraId="78EE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35BA5D9D">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1242" w:type="pct"/>
            <w:vAlign w:val="center"/>
          </w:tcPr>
          <w:p w14:paraId="0C4FD52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投标报价</w:t>
            </w:r>
          </w:p>
        </w:tc>
        <w:tc>
          <w:tcPr>
            <w:tcW w:w="1833" w:type="pct"/>
            <w:vAlign w:val="center"/>
          </w:tcPr>
          <w:p w14:paraId="11CA397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符合</w:t>
            </w:r>
            <w:r>
              <w:rPr>
                <w:rFonts w:hint="eastAsia" w:asciiTheme="minorEastAsia" w:hAnsiTheme="minorEastAsia" w:eastAsiaTheme="minorEastAsia" w:cstheme="minorEastAsia"/>
                <w:color w:val="auto"/>
                <w:sz w:val="24"/>
                <w:highlight w:val="none"/>
              </w:rPr>
              <w:t>招标文件投标人须知正文第</w:t>
            </w:r>
            <w:r>
              <w:rPr>
                <w:rFonts w:hint="eastAsia" w:asciiTheme="minorEastAsia" w:hAnsiTheme="minorEastAsia" w:eastAsiaTheme="minorEastAsia" w:cstheme="minorEastAsia"/>
                <w:color w:val="auto"/>
                <w:sz w:val="24"/>
                <w:highlight w:val="none"/>
                <w:lang w:val="en-US" w:eastAsia="zh-CN"/>
              </w:rPr>
              <w:t>9</w:t>
            </w:r>
            <w:r>
              <w:rPr>
                <w:rFonts w:hint="eastAsia" w:asciiTheme="minorEastAsia" w:hAnsiTheme="minorEastAsia" w:eastAsiaTheme="minorEastAsia" w:cstheme="minorEastAsia"/>
                <w:color w:val="auto"/>
                <w:sz w:val="24"/>
                <w:highlight w:val="none"/>
              </w:rPr>
              <w:t>条要求</w:t>
            </w:r>
          </w:p>
        </w:tc>
        <w:tc>
          <w:tcPr>
            <w:tcW w:w="1476" w:type="pct"/>
            <w:vAlign w:val="center"/>
          </w:tcPr>
          <w:p w14:paraId="4D297CEC">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详见第六章投标文件格式</w:t>
            </w:r>
            <w:r>
              <w:rPr>
                <w:rFonts w:hint="eastAsia" w:asciiTheme="minorEastAsia" w:hAnsiTheme="minorEastAsia" w:eastAsiaTheme="minorEastAsia" w:cstheme="minorEastAsia"/>
                <w:color w:val="auto"/>
                <w:sz w:val="24"/>
                <w:highlight w:val="none"/>
                <w:lang w:eastAsia="zh-CN"/>
              </w:rPr>
              <w:t>。</w:t>
            </w:r>
          </w:p>
        </w:tc>
      </w:tr>
      <w:tr w14:paraId="26426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68EBDB41">
            <w:pPr>
              <w:pageBreakBefore w:val="0"/>
              <w:kinsoku/>
              <w:overflowPunct/>
              <w:topLinePunct w:val="0"/>
              <w:bidi w:val="0"/>
              <w:adjustRightInd w:val="0"/>
              <w:snapToGrid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5</w:t>
            </w:r>
          </w:p>
        </w:tc>
        <w:tc>
          <w:tcPr>
            <w:tcW w:w="1242" w:type="pct"/>
            <w:vAlign w:val="center"/>
          </w:tcPr>
          <w:p w14:paraId="59E6627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商务响应情况</w:t>
            </w:r>
          </w:p>
        </w:tc>
        <w:tc>
          <w:tcPr>
            <w:tcW w:w="1833" w:type="pct"/>
            <w:vAlign w:val="center"/>
          </w:tcPr>
          <w:p w14:paraId="0A4B917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符合招标文件采购需求中对付款方式、</w:t>
            </w:r>
            <w:r>
              <w:rPr>
                <w:rFonts w:hint="eastAsia" w:asciiTheme="minorEastAsia" w:hAnsiTheme="minorEastAsia" w:eastAsiaTheme="minorEastAsia" w:cstheme="minorEastAsia"/>
                <w:color w:val="auto"/>
                <w:sz w:val="24"/>
                <w:szCs w:val="28"/>
                <w:highlight w:val="none"/>
                <w:lang w:val="en-US" w:eastAsia="zh-CN"/>
              </w:rPr>
              <w:t>服务</w:t>
            </w:r>
            <w:r>
              <w:rPr>
                <w:rFonts w:hint="eastAsia" w:asciiTheme="minorEastAsia" w:hAnsiTheme="minorEastAsia" w:eastAsiaTheme="minorEastAsia" w:cstheme="minorEastAsia"/>
                <w:color w:val="auto"/>
                <w:sz w:val="24"/>
                <w:szCs w:val="28"/>
                <w:highlight w:val="none"/>
              </w:rPr>
              <w:t>地点、</w:t>
            </w:r>
            <w:r>
              <w:rPr>
                <w:rFonts w:hint="eastAsia" w:asciiTheme="minorEastAsia" w:hAnsiTheme="minorEastAsia" w:eastAsiaTheme="minorEastAsia" w:cstheme="minorEastAsia"/>
                <w:color w:val="auto"/>
                <w:sz w:val="24"/>
                <w:szCs w:val="28"/>
                <w:highlight w:val="none"/>
                <w:lang w:val="en-US" w:eastAsia="zh-CN"/>
              </w:rPr>
              <w:t>服务</w:t>
            </w:r>
            <w:r>
              <w:rPr>
                <w:rFonts w:hint="eastAsia" w:asciiTheme="minorEastAsia" w:hAnsiTheme="minorEastAsia" w:eastAsiaTheme="minorEastAsia" w:cstheme="minorEastAsia"/>
                <w:color w:val="auto"/>
                <w:sz w:val="24"/>
                <w:szCs w:val="28"/>
                <w:highlight w:val="none"/>
              </w:rPr>
              <w:t>期限</w:t>
            </w:r>
            <w:r>
              <w:rPr>
                <w:rFonts w:hint="eastAsia" w:asciiTheme="minorEastAsia" w:hAnsiTheme="minorEastAsia" w:eastAsiaTheme="minorEastAsia" w:cstheme="minorEastAsia"/>
                <w:color w:val="auto"/>
                <w:sz w:val="24"/>
                <w:szCs w:val="28"/>
                <w:highlight w:val="none"/>
                <w:lang w:val="en-US" w:eastAsia="zh-CN"/>
              </w:rPr>
              <w:t>等实质性</w:t>
            </w:r>
            <w:r>
              <w:rPr>
                <w:rFonts w:hint="eastAsia" w:asciiTheme="minorEastAsia" w:hAnsiTheme="minorEastAsia" w:eastAsiaTheme="minorEastAsia" w:cstheme="minorEastAsia"/>
                <w:color w:val="auto"/>
                <w:sz w:val="24"/>
                <w:szCs w:val="28"/>
                <w:highlight w:val="none"/>
              </w:rPr>
              <w:t>要求</w:t>
            </w:r>
          </w:p>
        </w:tc>
        <w:tc>
          <w:tcPr>
            <w:tcW w:w="1476" w:type="pct"/>
            <w:vAlign w:val="center"/>
          </w:tcPr>
          <w:p w14:paraId="4D7FAF54">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rPr>
              <w:t>详见第六章投标文件格式</w:t>
            </w:r>
            <w:r>
              <w:rPr>
                <w:rFonts w:hint="eastAsia" w:asciiTheme="minorEastAsia" w:hAnsiTheme="minorEastAsia" w:eastAsiaTheme="minorEastAsia" w:cstheme="minorEastAsia"/>
                <w:color w:val="auto"/>
                <w:sz w:val="24"/>
                <w:highlight w:val="none"/>
                <w:lang w:eastAsia="zh-CN"/>
              </w:rPr>
              <w:t>。</w:t>
            </w:r>
          </w:p>
        </w:tc>
      </w:tr>
      <w:tr w14:paraId="5080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7CA29EF6">
            <w:pPr>
              <w:pageBreakBefore w:val="0"/>
              <w:kinsoku/>
              <w:overflowPunct/>
              <w:topLinePunct w:val="0"/>
              <w:bidi w:val="0"/>
              <w:adjustRightInd w:val="0"/>
              <w:snapToGrid w:val="0"/>
              <w:spacing w:line="360" w:lineRule="auto"/>
              <w:ind w:left="0" w:leftChars="0" w:right="0" w:rightChars="0"/>
              <w:jc w:val="center"/>
              <w:textAlignment w:val="auto"/>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w:t>
            </w:r>
          </w:p>
        </w:tc>
        <w:tc>
          <w:tcPr>
            <w:tcW w:w="1242" w:type="pct"/>
            <w:vAlign w:val="center"/>
          </w:tcPr>
          <w:p w14:paraId="708398F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其他要求</w:t>
            </w:r>
          </w:p>
        </w:tc>
        <w:tc>
          <w:tcPr>
            <w:tcW w:w="1833" w:type="pct"/>
            <w:vAlign w:val="center"/>
          </w:tcPr>
          <w:p w14:paraId="55CDAD2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符合法律、行政法规规定的其他条件或招标文件列明的其他</w:t>
            </w:r>
            <w:r>
              <w:rPr>
                <w:rFonts w:hint="eastAsia" w:asciiTheme="minorEastAsia" w:hAnsiTheme="minorEastAsia" w:eastAsiaTheme="minorEastAsia" w:cstheme="minorEastAsia"/>
                <w:color w:val="auto"/>
                <w:sz w:val="24"/>
                <w:szCs w:val="28"/>
                <w:highlight w:val="none"/>
                <w:lang w:val="en-US" w:eastAsia="zh-CN"/>
              </w:rPr>
              <w:t>实质性</w:t>
            </w:r>
            <w:r>
              <w:rPr>
                <w:rFonts w:hint="eastAsia" w:asciiTheme="minorEastAsia" w:hAnsiTheme="minorEastAsia" w:eastAsiaTheme="minorEastAsia" w:cstheme="minorEastAsia"/>
                <w:color w:val="auto"/>
                <w:sz w:val="24"/>
                <w:szCs w:val="28"/>
                <w:highlight w:val="none"/>
              </w:rPr>
              <w:t>要求</w:t>
            </w:r>
          </w:p>
        </w:tc>
        <w:tc>
          <w:tcPr>
            <w:tcW w:w="1476" w:type="pct"/>
            <w:vAlign w:val="center"/>
          </w:tcPr>
          <w:p w14:paraId="54E5FB1A">
            <w:pPr>
              <w:pageBreakBefore w:val="0"/>
              <w:kinsoku/>
              <w:overflowPunct/>
              <w:topLinePunct w:val="0"/>
              <w:bidi w:val="0"/>
              <w:adjustRightInd w:val="0"/>
              <w:snapToGrid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3DA5039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bCs/>
          <w:color w:val="auto"/>
          <w:sz w:val="24"/>
          <w:highlight w:val="none"/>
        </w:rPr>
        <w:t>符合性审查指标通过标准：</w:t>
      </w:r>
      <w:r>
        <w:rPr>
          <w:rFonts w:hint="eastAsia" w:asciiTheme="minorEastAsia" w:hAnsiTheme="minorEastAsia" w:eastAsiaTheme="minorEastAsia" w:cstheme="minorEastAsia"/>
          <w:color w:val="auto"/>
          <w:sz w:val="24"/>
          <w:highlight w:val="none"/>
        </w:rPr>
        <w:t>投标人必须通过符合性审查表中的全部评审指标。</w:t>
      </w:r>
    </w:p>
    <w:p w14:paraId="38153984">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1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7"/>
        <w:gridCol w:w="2463"/>
      </w:tblGrid>
      <w:tr w14:paraId="4852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2AE2773C">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异常低价审查表</w:t>
            </w:r>
          </w:p>
        </w:tc>
      </w:tr>
      <w:tr w14:paraId="6E7A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B43A233">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078F8900">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3862666A">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3F57E1B6">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22F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FAC0E88">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0AB426D9">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55988B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700208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0019E5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08A20326">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7304FF7E">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7ACFFB0C">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784F3CE">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D2D6989">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4F568DE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74F2299D">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02C96258">
      <w:pPr>
        <w:pStyle w:val="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51EEECAD">
      <w:pPr>
        <w:pStyle w:val="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0A299F69">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详细审查</w:t>
      </w:r>
    </w:p>
    <w:p w14:paraId="10ECCBD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.1评标委员会按照下表对投标文件进行详细审查和评分。</w:t>
      </w:r>
    </w:p>
    <w:p w14:paraId="0BD8E5D7">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.2本项目综合评分满分为100分，其中：技术资信分值占总分值的权重为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90</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%，价格分值占总分值的权重为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10</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%。具体评分细则如下：</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4"/>
        <w:gridCol w:w="1875"/>
        <w:gridCol w:w="4082"/>
        <w:gridCol w:w="1726"/>
      </w:tblGrid>
      <w:tr w14:paraId="6030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4" w:type="pct"/>
            <w:tcBorders>
              <w:top w:val="single" w:color="auto" w:sz="4" w:space="0"/>
              <w:left w:val="single" w:color="auto" w:sz="4" w:space="0"/>
              <w:bottom w:val="single" w:color="auto" w:sz="4" w:space="0"/>
              <w:right w:val="single" w:color="auto" w:sz="4" w:space="0"/>
            </w:tcBorders>
            <w:vAlign w:val="center"/>
          </w:tcPr>
          <w:p w14:paraId="0CCED2A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1CB10AF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1D03479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评分标准</w:t>
            </w:r>
          </w:p>
        </w:tc>
        <w:tc>
          <w:tcPr>
            <w:tcW w:w="928" w:type="pct"/>
            <w:tcBorders>
              <w:top w:val="single" w:color="auto" w:sz="4" w:space="0"/>
              <w:left w:val="single" w:color="auto" w:sz="4" w:space="0"/>
              <w:bottom w:val="single" w:color="auto" w:sz="4" w:space="0"/>
              <w:right w:val="single" w:color="auto" w:sz="4" w:space="0"/>
            </w:tcBorders>
            <w:vAlign w:val="center"/>
          </w:tcPr>
          <w:p w14:paraId="4188732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分值范围</w:t>
            </w:r>
          </w:p>
        </w:tc>
      </w:tr>
      <w:tr w14:paraId="06DB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pct"/>
            <w:vMerge w:val="restart"/>
            <w:tcBorders>
              <w:top w:val="single" w:color="auto" w:sz="4" w:space="0"/>
              <w:left w:val="single" w:color="auto" w:sz="4" w:space="0"/>
              <w:right w:val="single" w:color="auto" w:sz="4" w:space="0"/>
            </w:tcBorders>
            <w:vAlign w:val="center"/>
          </w:tcPr>
          <w:p w14:paraId="1AA6DA1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技术资信分</w:t>
            </w:r>
          </w:p>
          <w:p w14:paraId="66A6072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（90分）</w:t>
            </w:r>
          </w:p>
        </w:tc>
        <w:tc>
          <w:tcPr>
            <w:tcW w:w="1009" w:type="pct"/>
            <w:tcBorders>
              <w:top w:val="single" w:color="auto" w:sz="4" w:space="0"/>
              <w:left w:val="single" w:color="auto" w:sz="4" w:space="0"/>
              <w:bottom w:val="single" w:color="auto" w:sz="4" w:space="0"/>
              <w:right w:val="single" w:color="auto" w:sz="4" w:space="0"/>
            </w:tcBorders>
            <w:vAlign w:val="center"/>
          </w:tcPr>
          <w:p w14:paraId="41867EC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Cs/>
                <w:i/>
                <w:iCs/>
                <w:color w:val="auto"/>
                <w:sz w:val="24"/>
                <w:highlight w:val="none"/>
              </w:rPr>
            </w:pPr>
            <w:r>
              <w:rPr>
                <w:rFonts w:hint="eastAsia" w:asciiTheme="minorEastAsia" w:hAnsiTheme="minorEastAsia" w:eastAsiaTheme="minorEastAsia" w:cstheme="minorEastAsia"/>
                <w:i w:val="0"/>
                <w:iCs w:val="0"/>
                <w:color w:val="auto"/>
                <w:kern w:val="0"/>
                <w:sz w:val="22"/>
                <w:highlight w:val="none"/>
                <w:lang w:val="zh-CN" w:eastAsia="en-US" w:bidi="zh-CN"/>
              </w:rPr>
              <w:t>服务方案</w:t>
            </w:r>
          </w:p>
        </w:tc>
        <w:tc>
          <w:tcPr>
            <w:tcW w:w="2197" w:type="pct"/>
            <w:tcBorders>
              <w:top w:val="single" w:color="auto" w:sz="4" w:space="0"/>
              <w:left w:val="single" w:color="auto" w:sz="4" w:space="0"/>
              <w:bottom w:val="single" w:color="auto" w:sz="4" w:space="0"/>
              <w:right w:val="single" w:color="auto" w:sz="4" w:space="0"/>
            </w:tcBorders>
            <w:vAlign w:val="center"/>
          </w:tcPr>
          <w:p w14:paraId="16BBB1C3">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eastAsia="zh-CN"/>
              </w:rPr>
              <w:t>一、组织机构、人员配置、管理和培训方案（满分5分）</w:t>
            </w:r>
          </w:p>
          <w:p w14:paraId="1DCA7F44">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根据投标人针对本项目管理机构的设置、提供的人员配备方案、人员素质标准、培训及管理方案、员工稳定性措施方案等进行综合打分：</w:t>
            </w:r>
          </w:p>
          <w:p w14:paraId="46819E65">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（1）方案覆盖全面科学、要点突出，内容完整详实，表述清晰，与本项目实际需求适应度高，人员资质齐全，利于项目实施的得5分；</w:t>
            </w:r>
          </w:p>
          <w:p w14:paraId="2CC440D2">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（2）方案覆盖不全面、要点突出不够明显，具体细节有待完善，与本项目实际需求有适应度，符合项目实施要求的得3分；</w:t>
            </w:r>
          </w:p>
          <w:p w14:paraId="3A802FD6">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（3）方案存在明显缺陷仅能部分满足项目需求，不利于项目实施的得1分；</w:t>
            </w:r>
          </w:p>
          <w:p w14:paraId="7C35F6EF">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（4）未提供的得0分。</w:t>
            </w:r>
          </w:p>
          <w:p w14:paraId="2DABE96C">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val="en-US" w:eastAsia="zh-CN"/>
              </w:rPr>
              <w:t>二</w:t>
            </w:r>
            <w:r>
              <w:rPr>
                <w:rFonts w:hint="eastAsia" w:ascii="宋体" w:hAnsi="宋体" w:eastAsia="宋体" w:cs="宋体"/>
                <w:b/>
                <w:bCs/>
                <w:color w:val="auto"/>
                <w:sz w:val="22"/>
                <w:szCs w:val="22"/>
                <w:lang w:eastAsia="zh-CN"/>
              </w:rPr>
              <w:t>、卫生保洁服务</w:t>
            </w:r>
            <w:r>
              <w:rPr>
                <w:rFonts w:hint="eastAsia" w:ascii="宋体" w:hAnsi="宋体" w:eastAsia="宋体" w:cs="宋体"/>
                <w:b/>
                <w:bCs/>
                <w:color w:val="auto"/>
                <w:sz w:val="22"/>
                <w:szCs w:val="22"/>
                <w:lang w:val="en-US" w:eastAsia="zh-CN"/>
              </w:rPr>
              <w:t>及绿化养护</w:t>
            </w:r>
            <w:r>
              <w:rPr>
                <w:rFonts w:hint="eastAsia" w:ascii="宋体" w:hAnsi="宋体" w:eastAsia="宋体" w:cs="宋体"/>
                <w:b/>
                <w:bCs/>
                <w:color w:val="auto"/>
                <w:sz w:val="22"/>
                <w:szCs w:val="22"/>
                <w:lang w:eastAsia="zh-CN"/>
              </w:rPr>
              <w:t>管理方案（满分5分）</w:t>
            </w:r>
          </w:p>
          <w:p w14:paraId="7F192BCD">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根据投标人</w:t>
            </w:r>
            <w:r>
              <w:rPr>
                <w:rFonts w:hint="eastAsia" w:ascii="宋体" w:hAnsi="宋体" w:eastAsia="宋体" w:cs="宋体"/>
                <w:color w:val="auto"/>
                <w:sz w:val="22"/>
                <w:szCs w:val="22"/>
                <w:lang w:val="en-US" w:eastAsia="zh-CN"/>
              </w:rPr>
              <w:t>提供的</w:t>
            </w:r>
            <w:r>
              <w:rPr>
                <w:rFonts w:hint="eastAsia" w:ascii="宋体" w:hAnsi="宋体" w:eastAsia="宋体" w:cs="宋体"/>
                <w:color w:val="auto"/>
                <w:sz w:val="22"/>
                <w:szCs w:val="22"/>
                <w:lang w:eastAsia="zh-CN"/>
              </w:rPr>
              <w:t>卫生保洁工作</w:t>
            </w:r>
            <w:r>
              <w:rPr>
                <w:rFonts w:hint="eastAsia" w:ascii="宋体" w:hAnsi="宋体" w:eastAsia="宋体" w:cs="宋体"/>
                <w:color w:val="auto"/>
                <w:sz w:val="22"/>
                <w:szCs w:val="22"/>
                <w:lang w:val="en-US" w:eastAsia="zh-CN"/>
              </w:rPr>
              <w:t>及绿化养护工作的</w:t>
            </w:r>
            <w:r>
              <w:rPr>
                <w:rFonts w:hint="eastAsia" w:ascii="宋体" w:hAnsi="宋体" w:eastAsia="宋体" w:cs="宋体"/>
                <w:color w:val="auto"/>
                <w:sz w:val="22"/>
                <w:szCs w:val="22"/>
                <w:lang w:eastAsia="zh-CN"/>
              </w:rPr>
              <w:t>实施标准、实施方案及保证措施，进行综合打分：</w:t>
            </w:r>
          </w:p>
          <w:p w14:paraId="37C22105">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（1）工作实施标准严谨、方案覆盖全面科学、要点突出，内容完整详实，表述清晰，与本项目实际需求适应度高，利于项目实施的得5分；</w:t>
            </w:r>
          </w:p>
          <w:p w14:paraId="342FA730">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（2）工作实施标准不严谨，方案覆盖不全面、要点突出不够明显，具体细节有待完善，与本项目实际需求有适应度，符合项目实施要求的得3分；</w:t>
            </w:r>
          </w:p>
          <w:p w14:paraId="5B467198">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（3）方案存在明显缺陷仅能部分满足项目需求，不利于项目实施的得1分；</w:t>
            </w:r>
          </w:p>
          <w:p w14:paraId="2ABAE253">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（4）未提供的得0分。</w:t>
            </w:r>
          </w:p>
          <w:p w14:paraId="4A519EE3">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val="en-US" w:eastAsia="zh-CN"/>
              </w:rPr>
              <w:t>三</w:t>
            </w:r>
            <w:r>
              <w:rPr>
                <w:rFonts w:hint="eastAsia" w:ascii="宋体" w:hAnsi="宋体" w:eastAsia="宋体" w:cs="宋体"/>
                <w:b/>
                <w:bCs/>
                <w:color w:val="auto"/>
                <w:sz w:val="22"/>
                <w:szCs w:val="22"/>
                <w:lang w:eastAsia="zh-CN"/>
              </w:rPr>
              <w:t>、安全防护服务</w:t>
            </w:r>
            <w:r>
              <w:rPr>
                <w:rFonts w:hint="eastAsia" w:ascii="宋体" w:hAnsi="宋体" w:eastAsia="宋体" w:cs="宋体"/>
                <w:b/>
                <w:bCs/>
                <w:color w:val="auto"/>
                <w:sz w:val="22"/>
                <w:szCs w:val="22"/>
                <w:lang w:val="en-US" w:eastAsia="zh-CN"/>
              </w:rPr>
              <w:t>方案</w:t>
            </w:r>
            <w:r>
              <w:rPr>
                <w:rFonts w:hint="eastAsia" w:ascii="宋体" w:hAnsi="宋体" w:eastAsia="宋体" w:cs="宋体"/>
                <w:b/>
                <w:bCs/>
                <w:color w:val="auto"/>
                <w:sz w:val="22"/>
                <w:szCs w:val="22"/>
                <w:lang w:eastAsia="zh-CN"/>
              </w:rPr>
              <w:t>（满分5分）</w:t>
            </w:r>
          </w:p>
          <w:p w14:paraId="7327D86D">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根据投标人针对本项目的消防防护、电梯防护、日常安全巡逻防护等实施标准、实施方案及保证措施进行综合打分（方案响应时间不得高于招标文件要求</w:t>
            </w:r>
            <w:r>
              <w:rPr>
                <w:rFonts w:hint="eastAsia" w:ascii="宋体" w:hAnsi="宋体" w:eastAsia="宋体" w:cs="宋体"/>
                <w:color w:val="auto"/>
                <w:sz w:val="22"/>
                <w:szCs w:val="22"/>
                <w:lang w:val="en-US" w:eastAsia="zh-CN"/>
              </w:rPr>
              <w:t>的最长</w:t>
            </w:r>
            <w:r>
              <w:rPr>
                <w:rFonts w:hint="eastAsia" w:ascii="宋体" w:hAnsi="宋体" w:eastAsia="宋体" w:cs="宋体"/>
                <w:color w:val="auto"/>
                <w:sz w:val="22"/>
                <w:szCs w:val="22"/>
                <w:lang w:eastAsia="zh-CN"/>
              </w:rPr>
              <w:t>时间，否则不得分，如电梯困人15分钟内要求到场解决，高于15分钟救援时间的方案0分）：</w:t>
            </w:r>
          </w:p>
          <w:p w14:paraId="36245A65">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（1）工作实施标准严谨、方案覆盖全面科学、要点突出，内容完整详实，表述清晰，与本项目实际需求适应度高，利于项目实施的得5分；</w:t>
            </w:r>
          </w:p>
          <w:p w14:paraId="33450F74">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（2）工作实施标准不严谨，方案覆盖不全面、要点突出不够明显，具体细节有待完善，与本项目实际需求有适应度，符合项目实施要求的得3分；</w:t>
            </w:r>
          </w:p>
          <w:p w14:paraId="27291150">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（3）方案存在明显缺陷仅能部分满足项目需求，不利于项目实施的得1分；</w:t>
            </w:r>
          </w:p>
          <w:p w14:paraId="2548550D">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（4）未提供的得0分。</w:t>
            </w:r>
          </w:p>
          <w:p w14:paraId="633426E2">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val="en-US" w:eastAsia="zh-CN"/>
              </w:rPr>
              <w:t>四</w:t>
            </w:r>
            <w:r>
              <w:rPr>
                <w:rFonts w:hint="eastAsia" w:ascii="宋体" w:hAnsi="宋体" w:eastAsia="宋体" w:cs="宋体"/>
                <w:b/>
                <w:bCs/>
                <w:color w:val="auto"/>
                <w:sz w:val="22"/>
                <w:szCs w:val="22"/>
                <w:lang w:eastAsia="zh-CN"/>
              </w:rPr>
              <w:t>、车辆管理方案（满分5分）</w:t>
            </w:r>
          </w:p>
          <w:p w14:paraId="4F1B83C9">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根据投标人针对本项目</w:t>
            </w:r>
            <w:r>
              <w:rPr>
                <w:rFonts w:hint="eastAsia" w:ascii="宋体" w:hAnsi="宋体" w:eastAsia="宋体" w:cs="宋体"/>
                <w:color w:val="auto"/>
                <w:sz w:val="22"/>
                <w:szCs w:val="22"/>
                <w:lang w:val="en-US" w:eastAsia="zh-CN"/>
              </w:rPr>
              <w:t>设置的</w:t>
            </w:r>
            <w:r>
              <w:rPr>
                <w:rFonts w:hint="eastAsia" w:ascii="宋体" w:hAnsi="宋体" w:eastAsia="宋体" w:cs="宋体"/>
                <w:color w:val="auto"/>
                <w:sz w:val="22"/>
                <w:szCs w:val="22"/>
                <w:lang w:eastAsia="zh-CN"/>
              </w:rPr>
              <w:t>机动车辆和非机动车辆管理方案进行综合打分；</w:t>
            </w:r>
          </w:p>
          <w:p w14:paraId="28362657">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（1）整体方案内容健全，针对性强，处理程序高于行业标准的得5分；</w:t>
            </w:r>
          </w:p>
          <w:p w14:paraId="4BC8C5A8">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（2）整体方案内容不全面，具体细节有待完善，针对性较强，处理程序符合行业标准的得3分；</w:t>
            </w:r>
          </w:p>
          <w:p w14:paraId="2A2CED34">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（3）整体方案内容存在缺陷，针对性不强，处理程序较符合行业标准的得1分；</w:t>
            </w:r>
          </w:p>
          <w:p w14:paraId="17CEFD6F">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（4）未提供的得0分。</w:t>
            </w:r>
          </w:p>
          <w:p w14:paraId="56D08EDF">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val="en-US" w:eastAsia="zh-CN"/>
              </w:rPr>
              <w:t>五</w:t>
            </w:r>
            <w:r>
              <w:rPr>
                <w:rFonts w:hint="eastAsia" w:ascii="宋体" w:hAnsi="宋体" w:eastAsia="宋体" w:cs="宋体"/>
                <w:b/>
                <w:bCs/>
                <w:color w:val="auto"/>
                <w:sz w:val="22"/>
                <w:szCs w:val="22"/>
                <w:lang w:eastAsia="zh-CN"/>
              </w:rPr>
              <w:t>、应急预案（满分5分）</w:t>
            </w:r>
          </w:p>
          <w:p w14:paraId="7FDB50A4">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根据</w:t>
            </w:r>
            <w:r>
              <w:rPr>
                <w:rFonts w:hint="eastAsia" w:ascii="宋体" w:hAnsi="宋体" w:eastAsia="宋体" w:cs="宋体"/>
                <w:color w:val="auto"/>
                <w:sz w:val="22"/>
                <w:szCs w:val="22"/>
                <w:lang w:val="en-US" w:eastAsia="zh-CN"/>
              </w:rPr>
              <w:t>投标人提供的按照</w:t>
            </w:r>
            <w:r>
              <w:rPr>
                <w:rFonts w:hint="eastAsia" w:ascii="宋体" w:hAnsi="宋体" w:eastAsia="宋体" w:cs="宋体"/>
                <w:color w:val="auto"/>
                <w:sz w:val="22"/>
                <w:szCs w:val="22"/>
                <w:lang w:eastAsia="zh-CN"/>
              </w:rPr>
              <w:t>物业管理服务规律和可能发生的紧急事件（包括治安突发事件、火灾、暴风雨、断电、设备故障等），提出应急管理预案进行综合打分；</w:t>
            </w:r>
          </w:p>
          <w:p w14:paraId="54375804">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（1）应急预案内容健全、可行性强、要点突出，利于项目实施的得5分；</w:t>
            </w:r>
          </w:p>
          <w:p w14:paraId="5D86EE91">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（2）应急预案内容不全面、要点突出不够明显，具体细节有待完善，符合项目实施要求的得3分；</w:t>
            </w:r>
          </w:p>
          <w:p w14:paraId="7686CBA3">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（3）应急预案存在明显缺陷，可行性不强，不利于项目实施的得1分；</w:t>
            </w:r>
          </w:p>
          <w:p w14:paraId="5CDC2265">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（4）未提供的得0分。</w:t>
            </w:r>
          </w:p>
          <w:p w14:paraId="1DB2B1CB">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val="en-US" w:eastAsia="zh-CN"/>
              </w:rPr>
              <w:t>六</w:t>
            </w:r>
            <w:r>
              <w:rPr>
                <w:rFonts w:hint="eastAsia" w:ascii="宋体" w:hAnsi="宋体" w:eastAsia="宋体" w:cs="宋体"/>
                <w:b/>
                <w:bCs/>
                <w:color w:val="auto"/>
                <w:sz w:val="22"/>
                <w:szCs w:val="22"/>
                <w:lang w:eastAsia="zh-CN"/>
              </w:rPr>
              <w:t>、设施设备维护方案（满分5分）</w:t>
            </w:r>
          </w:p>
          <w:p w14:paraId="0171F468">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根据投标人针对本项目设施设备维护方案进行综合打分；</w:t>
            </w:r>
          </w:p>
          <w:p w14:paraId="6175C5E2">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（1）整体方案内容健全，针对性强，处理程序高于行业标准的得5分；</w:t>
            </w:r>
          </w:p>
          <w:p w14:paraId="79EE40B0">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（2）整体方案内容不全面，具体细节有待完善，针对性较强，处理程序符合行业标准的得3分；</w:t>
            </w:r>
          </w:p>
          <w:p w14:paraId="5C2CD619">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（3）整体方案内容存在缺陷，针对性不强，处理程序较符合行业标准的得1分；</w:t>
            </w:r>
          </w:p>
          <w:p w14:paraId="581A579D">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（4）未提供的得0分。</w:t>
            </w:r>
          </w:p>
          <w:p w14:paraId="187D09BC">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val="en-US" w:eastAsia="zh-CN"/>
              </w:rPr>
              <w:t>七</w:t>
            </w:r>
            <w:r>
              <w:rPr>
                <w:rFonts w:hint="eastAsia" w:ascii="宋体" w:hAnsi="宋体" w:eastAsia="宋体" w:cs="宋体"/>
                <w:b/>
                <w:bCs/>
                <w:color w:val="auto"/>
                <w:sz w:val="22"/>
                <w:szCs w:val="22"/>
                <w:lang w:eastAsia="zh-CN"/>
              </w:rPr>
              <w:t>、小区东北角F3东边空地规划方案（</w:t>
            </w:r>
            <w:r>
              <w:rPr>
                <w:rFonts w:hint="eastAsia" w:ascii="宋体" w:hAnsi="宋体" w:eastAsia="宋体" w:cs="宋体"/>
                <w:b/>
                <w:bCs/>
                <w:color w:val="auto"/>
                <w:sz w:val="22"/>
                <w:szCs w:val="22"/>
                <w:lang w:val="en-US" w:eastAsia="zh-CN"/>
              </w:rPr>
              <w:t>原开发商规划的F4区域内被作为垃圾场使用的空场地</w:t>
            </w:r>
            <w:r>
              <w:rPr>
                <w:rFonts w:hint="eastAsia" w:ascii="宋体" w:hAnsi="宋体" w:eastAsia="宋体" w:cs="宋体"/>
                <w:b/>
                <w:bCs/>
                <w:color w:val="auto"/>
                <w:sz w:val="22"/>
                <w:szCs w:val="22"/>
                <w:lang w:eastAsia="zh-CN"/>
              </w:rPr>
              <w:t>）（满分5分）</w:t>
            </w:r>
          </w:p>
          <w:p w14:paraId="4A77C852">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根据投标人针对本小区空地的规划方案进行综合打分；</w:t>
            </w:r>
          </w:p>
          <w:p w14:paraId="06C15DCE">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（1）整体方案内容健全，操作可行性强，1年内能够切实落实实施得5分；</w:t>
            </w:r>
          </w:p>
          <w:p w14:paraId="09922C35">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（2）整体方案内容不全面，具体细节有待完善，实施困难，耗时过长得3分；</w:t>
            </w:r>
          </w:p>
          <w:p w14:paraId="2D35A58E">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（3）整体方案内容存在缺陷，操作困难，实施性不强，得1分；</w:t>
            </w:r>
          </w:p>
          <w:p w14:paraId="45AB31AC">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（4）未提供的得0分。</w:t>
            </w:r>
          </w:p>
          <w:p w14:paraId="36DDE99D">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sz w:val="22"/>
                <w:szCs w:val="22"/>
                <w:lang w:eastAsia="zh-CN"/>
              </w:rPr>
            </w:pPr>
            <w:r>
              <w:rPr>
                <w:rFonts w:hint="eastAsia" w:ascii="宋体" w:hAnsi="宋体" w:eastAsia="宋体" w:cs="宋体"/>
                <w:b/>
                <w:bCs/>
                <w:color w:val="auto"/>
                <w:sz w:val="22"/>
                <w:szCs w:val="22"/>
                <w:lang w:val="en-US" w:eastAsia="zh-CN"/>
              </w:rPr>
              <w:t>八</w:t>
            </w:r>
            <w:r>
              <w:rPr>
                <w:rFonts w:hint="eastAsia" w:ascii="宋体" w:hAnsi="宋体" w:eastAsia="宋体" w:cs="宋体"/>
                <w:b/>
                <w:bCs/>
                <w:color w:val="auto"/>
                <w:sz w:val="22"/>
                <w:szCs w:val="22"/>
                <w:lang w:eastAsia="zh-CN"/>
              </w:rPr>
              <w:t>、小区流浪猫狗安置解决方案（满分5分）</w:t>
            </w:r>
          </w:p>
          <w:p w14:paraId="1AB64ADC">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根据投标人针对本小区流浪猫狗安置解决方案进行综合打分；</w:t>
            </w:r>
          </w:p>
          <w:p w14:paraId="27132BAB">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（1）整体方案内容健全，操作可行性强，1年内能够切实落实实施，（</w:t>
            </w:r>
            <w:r>
              <w:rPr>
                <w:rFonts w:hint="eastAsia" w:ascii="宋体" w:hAnsi="宋体" w:eastAsia="宋体" w:cs="宋体"/>
                <w:color w:val="auto"/>
                <w:sz w:val="22"/>
                <w:szCs w:val="22"/>
                <w:lang w:val="en-US" w:eastAsia="zh-CN"/>
              </w:rPr>
              <w:t>比如抓捕绝育（业主担负费用），在小区隐蔽处建统一规制且美观的猫窝（中标人担负费用）</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等等</w:t>
            </w:r>
            <w:r>
              <w:rPr>
                <w:rFonts w:hint="eastAsia" w:ascii="宋体" w:hAnsi="宋体" w:eastAsia="宋体" w:cs="宋体"/>
                <w:color w:val="auto"/>
                <w:sz w:val="22"/>
                <w:szCs w:val="22"/>
                <w:lang w:eastAsia="zh-CN"/>
              </w:rPr>
              <w:t>，得5分；</w:t>
            </w:r>
          </w:p>
          <w:p w14:paraId="4D9CDD37">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（2）整体方案内容不全面，具体细节有待完善，实施困难，耗时过长得3分；</w:t>
            </w:r>
          </w:p>
          <w:p w14:paraId="53348A1E">
            <w:pPr>
              <w:pageBreakBefore w:val="0"/>
              <w:kinsoku/>
              <w:overflowPunct/>
              <w:topLinePunct w:val="0"/>
              <w:bidi w:val="0"/>
              <w:spacing w:line="360" w:lineRule="auto"/>
              <w:ind w:left="0" w:leftChars="0" w:right="0" w:rightChars="0"/>
              <w:jc w:val="left"/>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（3）整体方案内容存在缺陷，操作困难，实施性不强，得1分；</w:t>
            </w:r>
          </w:p>
          <w:p w14:paraId="54985EF3">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bCs/>
                <w:i/>
                <w:iCs/>
                <w:color w:val="auto"/>
                <w:sz w:val="24"/>
                <w:highlight w:val="none"/>
              </w:rPr>
            </w:pPr>
            <w:r>
              <w:rPr>
                <w:rFonts w:hint="eastAsia" w:ascii="宋体" w:hAnsi="宋体" w:eastAsia="宋体" w:cs="宋体"/>
                <w:color w:val="auto"/>
                <w:sz w:val="22"/>
                <w:szCs w:val="22"/>
                <w:lang w:eastAsia="zh-CN"/>
              </w:rPr>
              <w:t>（4）未提供的得0分，毒害或驱赶至其他小区等得0分。</w:t>
            </w:r>
          </w:p>
        </w:tc>
        <w:tc>
          <w:tcPr>
            <w:tcW w:w="928" w:type="pct"/>
            <w:tcBorders>
              <w:top w:val="single" w:color="auto" w:sz="4" w:space="0"/>
              <w:left w:val="single" w:color="auto" w:sz="4" w:space="0"/>
              <w:bottom w:val="single" w:color="auto" w:sz="4" w:space="0"/>
              <w:right w:val="single" w:color="auto" w:sz="4" w:space="0"/>
            </w:tcBorders>
            <w:vAlign w:val="center"/>
          </w:tcPr>
          <w:p w14:paraId="7549B24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i/>
                <w:iCs/>
                <w:color w:val="auto"/>
                <w:sz w:val="24"/>
                <w:highlight w:val="none"/>
              </w:rPr>
            </w:pPr>
            <w:r>
              <w:rPr>
                <w:rFonts w:hint="eastAsia" w:ascii="宋体" w:hAnsi="宋体" w:eastAsia="宋体" w:cs="宋体"/>
                <w:b/>
                <w:kern w:val="0"/>
                <w:sz w:val="22"/>
                <w:lang w:val="en-US" w:eastAsia="en-US" w:bidi="zh-CN"/>
              </w:rPr>
              <w:t>0-40分</w:t>
            </w:r>
          </w:p>
        </w:tc>
      </w:tr>
      <w:tr w14:paraId="283A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pct"/>
            <w:vMerge w:val="continue"/>
            <w:tcBorders>
              <w:left w:val="single" w:color="auto" w:sz="4" w:space="0"/>
              <w:right w:val="single" w:color="auto" w:sz="4" w:space="0"/>
            </w:tcBorders>
            <w:vAlign w:val="center"/>
          </w:tcPr>
          <w:p w14:paraId="365B4392">
            <w:pPr>
              <w:pageBreakBefore w:val="0"/>
              <w:kinsoku/>
              <w:overflowPunct/>
              <w:topLinePunct w:val="0"/>
              <w:bidi w:val="0"/>
              <w:spacing w:line="360" w:lineRule="auto"/>
              <w:ind w:left="0" w:leftChars="0" w:right="0" w:rightChars="0" w:firstLine="435"/>
              <w:jc w:val="center"/>
              <w:textAlignment w:val="auto"/>
              <w:rPr>
                <w:rFonts w:hint="eastAsia" w:asciiTheme="minorEastAsia" w:hAnsiTheme="minorEastAsia" w:eastAsiaTheme="minorEastAsia" w:cs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1A831E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i/>
                <w:iCs/>
                <w:color w:val="auto"/>
                <w:sz w:val="24"/>
                <w:highlight w:val="none"/>
              </w:rPr>
            </w:pPr>
            <w:r>
              <w:rPr>
                <w:rFonts w:hint="eastAsia" w:ascii="宋体" w:hAnsi="宋体" w:eastAsia="宋体" w:cs="宋体"/>
                <w:color w:val="auto"/>
                <w:kern w:val="0"/>
                <w:sz w:val="22"/>
                <w:lang w:val="en-US" w:eastAsia="en-US" w:bidi="zh-CN"/>
              </w:rPr>
              <w:t>类似业绩</w:t>
            </w:r>
          </w:p>
        </w:tc>
        <w:tc>
          <w:tcPr>
            <w:tcW w:w="2197" w:type="pct"/>
            <w:tcBorders>
              <w:top w:val="single" w:color="auto" w:sz="4" w:space="0"/>
              <w:left w:val="single" w:color="auto" w:sz="4" w:space="0"/>
              <w:bottom w:val="single" w:color="auto" w:sz="4" w:space="0"/>
              <w:right w:val="single" w:color="auto" w:sz="4" w:space="0"/>
            </w:tcBorders>
            <w:vAlign w:val="center"/>
          </w:tcPr>
          <w:p w14:paraId="5205020A">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i w:val="0"/>
                <w:iCs w:val="0"/>
                <w:color w:val="auto"/>
                <w:sz w:val="22"/>
                <w:szCs w:val="22"/>
                <w:highlight w:val="none"/>
                <w:lang w:val="en-US" w:eastAsia="zh-CN"/>
              </w:rPr>
            </w:pPr>
            <w:r>
              <w:rPr>
                <w:rFonts w:hint="eastAsia" w:ascii="宋体" w:hAnsi="宋体" w:eastAsia="宋体" w:cs="宋体"/>
                <w:b/>
                <w:bCs/>
                <w:i w:val="0"/>
                <w:iCs w:val="0"/>
                <w:color w:val="auto"/>
                <w:sz w:val="22"/>
                <w:szCs w:val="22"/>
                <w:highlight w:val="none"/>
                <w:lang w:val="en-US" w:eastAsia="zh-CN"/>
              </w:rPr>
              <w:t>一、投标人业绩（6分）</w:t>
            </w:r>
          </w:p>
          <w:p w14:paraId="4313CB62">
            <w:pPr>
              <w:pageBreakBefore w:val="0"/>
              <w:kinsoku/>
              <w:overflowPunct/>
              <w:topLinePunct w:val="0"/>
              <w:bidi w:val="0"/>
              <w:spacing w:line="360" w:lineRule="auto"/>
              <w:ind w:left="0" w:leftChars="0" w:right="0" w:rightChars="0"/>
              <w:jc w:val="left"/>
              <w:textAlignment w:val="auto"/>
              <w:rPr>
                <w:rFonts w:hint="eastAsia" w:ascii="宋体" w:hAnsi="宋体" w:eastAsia="宋体" w:cs="宋体"/>
                <w:i w:val="0"/>
                <w:iCs w:val="0"/>
                <w:color w:val="auto"/>
                <w:sz w:val="22"/>
                <w:szCs w:val="22"/>
                <w:highlight w:val="none"/>
                <w:lang w:eastAsia="zh-CN"/>
              </w:rPr>
            </w:pPr>
            <w:r>
              <w:rPr>
                <w:rFonts w:hint="eastAsia" w:ascii="宋体" w:hAnsi="宋体" w:eastAsia="宋体" w:cs="宋体"/>
                <w:i w:val="0"/>
                <w:iCs w:val="0"/>
                <w:color w:val="auto"/>
                <w:sz w:val="22"/>
                <w:szCs w:val="22"/>
                <w:highlight w:val="none"/>
                <w:lang w:eastAsia="zh-CN"/>
              </w:rPr>
              <w:t>自2023年1月1日以来（以合同签订时间为准）：投标人每提供</w:t>
            </w:r>
            <w:r>
              <w:rPr>
                <w:rFonts w:hint="eastAsia" w:ascii="宋体" w:hAnsi="宋体" w:eastAsia="宋体" w:cs="宋体"/>
                <w:i w:val="0"/>
                <w:iCs w:val="0"/>
                <w:color w:val="auto"/>
                <w:sz w:val="22"/>
                <w:szCs w:val="22"/>
                <w:highlight w:val="none"/>
                <w:lang w:val="en-US" w:eastAsia="zh-CN"/>
              </w:rPr>
              <w:t>一</w:t>
            </w:r>
            <w:r>
              <w:rPr>
                <w:rFonts w:hint="eastAsia" w:ascii="宋体" w:hAnsi="宋体" w:eastAsia="宋体" w:cs="宋体"/>
                <w:i w:val="0"/>
                <w:iCs w:val="0"/>
                <w:color w:val="auto"/>
                <w:sz w:val="22"/>
                <w:szCs w:val="22"/>
                <w:highlight w:val="none"/>
                <w:lang w:eastAsia="zh-CN"/>
              </w:rPr>
              <w:t>个物业服务业绩的，得</w:t>
            </w:r>
            <w:r>
              <w:rPr>
                <w:rFonts w:hint="eastAsia" w:ascii="宋体" w:hAnsi="宋体" w:eastAsia="宋体" w:cs="宋体"/>
                <w:i w:val="0"/>
                <w:iCs w:val="0"/>
                <w:color w:val="auto"/>
                <w:sz w:val="22"/>
                <w:szCs w:val="22"/>
                <w:highlight w:val="none"/>
                <w:lang w:val="en-US" w:eastAsia="zh-CN"/>
              </w:rPr>
              <w:t>2</w:t>
            </w:r>
            <w:r>
              <w:rPr>
                <w:rFonts w:hint="eastAsia" w:ascii="宋体" w:hAnsi="宋体" w:eastAsia="宋体" w:cs="宋体"/>
                <w:i w:val="0"/>
                <w:iCs w:val="0"/>
                <w:color w:val="auto"/>
                <w:sz w:val="22"/>
                <w:szCs w:val="22"/>
                <w:highlight w:val="none"/>
                <w:lang w:eastAsia="zh-CN"/>
              </w:rPr>
              <w:t>分，满分</w:t>
            </w:r>
            <w:r>
              <w:rPr>
                <w:rFonts w:hint="eastAsia" w:ascii="宋体" w:hAnsi="宋体" w:eastAsia="宋体" w:cs="宋体"/>
                <w:i w:val="0"/>
                <w:iCs w:val="0"/>
                <w:color w:val="auto"/>
                <w:sz w:val="22"/>
                <w:szCs w:val="22"/>
                <w:highlight w:val="none"/>
                <w:lang w:val="en-US" w:eastAsia="zh-CN"/>
              </w:rPr>
              <w:t>6</w:t>
            </w:r>
            <w:r>
              <w:rPr>
                <w:rFonts w:hint="eastAsia" w:ascii="宋体" w:hAnsi="宋体" w:eastAsia="宋体" w:cs="宋体"/>
                <w:i w:val="0"/>
                <w:iCs w:val="0"/>
                <w:color w:val="auto"/>
                <w:sz w:val="22"/>
                <w:szCs w:val="22"/>
                <w:highlight w:val="none"/>
                <w:lang w:eastAsia="zh-CN"/>
              </w:rPr>
              <w:t>分；</w:t>
            </w:r>
          </w:p>
          <w:p w14:paraId="6D7132D6">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i w:val="0"/>
                <w:iCs w:val="0"/>
                <w:color w:val="auto"/>
                <w:sz w:val="22"/>
                <w:szCs w:val="22"/>
                <w:highlight w:val="none"/>
                <w:lang w:val="en-US" w:eastAsia="zh-CN"/>
              </w:rPr>
            </w:pPr>
            <w:r>
              <w:rPr>
                <w:rFonts w:hint="eastAsia" w:ascii="宋体" w:hAnsi="宋体" w:eastAsia="宋体" w:cs="宋体"/>
                <w:b/>
                <w:bCs/>
                <w:i w:val="0"/>
                <w:iCs w:val="0"/>
                <w:color w:val="auto"/>
                <w:sz w:val="22"/>
                <w:szCs w:val="22"/>
                <w:highlight w:val="none"/>
                <w:lang w:val="en-US" w:eastAsia="zh-CN"/>
              </w:rPr>
              <w:t>二、项目经理业绩（3分）</w:t>
            </w:r>
          </w:p>
          <w:p w14:paraId="04C3629D">
            <w:pPr>
              <w:pageBreakBefore w:val="0"/>
              <w:kinsoku/>
              <w:overflowPunct/>
              <w:topLinePunct w:val="0"/>
              <w:bidi w:val="0"/>
              <w:spacing w:line="360" w:lineRule="auto"/>
              <w:ind w:left="0" w:leftChars="0" w:right="0" w:rightChars="0"/>
              <w:jc w:val="left"/>
              <w:textAlignment w:val="auto"/>
              <w:rPr>
                <w:rFonts w:hint="eastAsia" w:ascii="宋体" w:hAnsi="宋体" w:eastAsia="宋体" w:cs="宋体"/>
                <w:i w:val="0"/>
                <w:iCs w:val="0"/>
                <w:color w:val="auto"/>
                <w:sz w:val="22"/>
                <w:szCs w:val="22"/>
                <w:highlight w:val="none"/>
                <w:lang w:eastAsia="zh-CN"/>
              </w:rPr>
            </w:pPr>
            <w:r>
              <w:rPr>
                <w:rFonts w:hint="eastAsia" w:ascii="宋体" w:hAnsi="宋体" w:eastAsia="宋体" w:cs="宋体"/>
                <w:i w:val="0"/>
                <w:iCs w:val="0"/>
                <w:color w:val="auto"/>
                <w:sz w:val="22"/>
                <w:szCs w:val="22"/>
                <w:highlight w:val="none"/>
                <w:lang w:val="en-US" w:eastAsia="zh-CN"/>
              </w:rPr>
              <w:t>每提供一个物业管理服务项目业绩（须在项目中担任项目经理或负责人）的得3分，本项最高得3分。</w:t>
            </w:r>
          </w:p>
          <w:p w14:paraId="1F2AE5EE">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i w:val="0"/>
                <w:iCs w:val="0"/>
                <w:color w:val="auto"/>
                <w:sz w:val="21"/>
                <w:szCs w:val="21"/>
                <w:highlight w:val="none"/>
                <w:lang w:eastAsia="zh-CN"/>
              </w:rPr>
            </w:pPr>
            <w:r>
              <w:rPr>
                <w:rFonts w:hint="eastAsia" w:ascii="宋体" w:hAnsi="宋体" w:eastAsia="宋体" w:cs="宋体"/>
                <w:b/>
                <w:bCs/>
                <w:i w:val="0"/>
                <w:iCs w:val="0"/>
                <w:color w:val="auto"/>
                <w:sz w:val="21"/>
                <w:szCs w:val="21"/>
                <w:highlight w:val="none"/>
                <w:lang w:eastAsia="zh-CN"/>
              </w:rPr>
              <w:t>注：（</w:t>
            </w:r>
            <w:r>
              <w:rPr>
                <w:rFonts w:hint="eastAsia" w:ascii="宋体" w:hAnsi="宋体" w:eastAsia="宋体" w:cs="宋体"/>
                <w:b/>
                <w:bCs/>
                <w:i w:val="0"/>
                <w:iCs w:val="0"/>
                <w:color w:val="auto"/>
                <w:sz w:val="21"/>
                <w:szCs w:val="21"/>
                <w:highlight w:val="none"/>
                <w:lang w:val="en-US" w:eastAsia="zh-CN"/>
              </w:rPr>
              <w:t>1</w:t>
            </w:r>
            <w:r>
              <w:rPr>
                <w:rFonts w:hint="eastAsia" w:ascii="宋体" w:hAnsi="宋体" w:eastAsia="宋体" w:cs="宋体"/>
                <w:b/>
                <w:bCs/>
                <w:i w:val="0"/>
                <w:iCs w:val="0"/>
                <w:color w:val="auto"/>
                <w:sz w:val="21"/>
                <w:szCs w:val="21"/>
                <w:highlight w:val="none"/>
                <w:lang w:eastAsia="zh-CN"/>
              </w:rPr>
              <w:t>）已完成业绩和正在履约的业绩均予以认可；</w:t>
            </w:r>
          </w:p>
          <w:p w14:paraId="75216179">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i w:val="0"/>
                <w:iCs w:val="0"/>
                <w:color w:val="auto"/>
                <w:sz w:val="21"/>
                <w:szCs w:val="21"/>
                <w:highlight w:val="none"/>
                <w:lang w:eastAsia="zh-CN"/>
              </w:rPr>
            </w:pPr>
            <w:r>
              <w:rPr>
                <w:rFonts w:hint="eastAsia" w:ascii="宋体" w:hAnsi="宋体" w:eastAsia="宋体" w:cs="宋体"/>
                <w:b/>
                <w:bCs/>
                <w:i w:val="0"/>
                <w:iCs w:val="0"/>
                <w:color w:val="auto"/>
                <w:sz w:val="21"/>
                <w:szCs w:val="21"/>
                <w:highlight w:val="none"/>
                <w:lang w:val="en-US" w:eastAsia="zh-CN"/>
              </w:rPr>
              <w:t>（2）</w:t>
            </w:r>
            <w:r>
              <w:rPr>
                <w:rFonts w:hint="eastAsia" w:ascii="宋体" w:hAnsi="宋体" w:eastAsia="宋体" w:cs="宋体"/>
                <w:b/>
                <w:bCs/>
                <w:i w:val="0"/>
                <w:iCs w:val="0"/>
                <w:color w:val="auto"/>
                <w:sz w:val="21"/>
                <w:szCs w:val="21"/>
                <w:highlight w:val="none"/>
                <w:lang w:eastAsia="zh-CN"/>
              </w:rPr>
              <w:t>投标文件中提供业绩合同，如合同中无法体现签订时间、</w:t>
            </w:r>
            <w:r>
              <w:rPr>
                <w:rFonts w:hint="eastAsia" w:ascii="宋体" w:hAnsi="宋体" w:eastAsia="宋体" w:cs="宋体"/>
                <w:b/>
                <w:bCs/>
                <w:i w:val="0"/>
                <w:iCs w:val="0"/>
                <w:color w:val="auto"/>
                <w:sz w:val="21"/>
                <w:szCs w:val="21"/>
                <w:highlight w:val="none"/>
                <w:lang w:val="en-US" w:eastAsia="zh-CN"/>
              </w:rPr>
              <w:t>项目经理或项目负责人</w:t>
            </w:r>
            <w:r>
              <w:rPr>
                <w:rFonts w:hint="eastAsia" w:ascii="宋体" w:hAnsi="宋体" w:eastAsia="宋体" w:cs="宋体"/>
                <w:b/>
                <w:bCs/>
                <w:i w:val="0"/>
                <w:iCs w:val="0"/>
                <w:color w:val="auto"/>
                <w:sz w:val="21"/>
                <w:szCs w:val="21"/>
                <w:highlight w:val="none"/>
                <w:lang w:eastAsia="zh-CN"/>
              </w:rPr>
              <w:t>等关键信息的须另附业主证明材料，否则不予认可；</w:t>
            </w:r>
          </w:p>
          <w:p w14:paraId="1430CA34">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i w:val="0"/>
                <w:iCs w:val="0"/>
                <w:color w:val="auto"/>
                <w:sz w:val="21"/>
                <w:szCs w:val="21"/>
                <w:highlight w:val="none"/>
                <w:lang w:eastAsia="zh-CN"/>
              </w:rPr>
            </w:pPr>
            <w:r>
              <w:rPr>
                <w:rFonts w:hint="eastAsia" w:ascii="宋体" w:hAnsi="宋体" w:eastAsia="宋体" w:cs="宋体"/>
                <w:b/>
                <w:bCs/>
                <w:i w:val="0"/>
                <w:iCs w:val="0"/>
                <w:color w:val="auto"/>
                <w:sz w:val="21"/>
                <w:szCs w:val="21"/>
                <w:highlight w:val="none"/>
                <w:lang w:eastAsia="zh-CN"/>
              </w:rPr>
              <w:t>（</w:t>
            </w:r>
            <w:r>
              <w:rPr>
                <w:rFonts w:hint="eastAsia" w:ascii="宋体" w:hAnsi="宋体" w:eastAsia="宋体" w:cs="宋体"/>
                <w:b/>
                <w:bCs/>
                <w:i w:val="0"/>
                <w:iCs w:val="0"/>
                <w:color w:val="auto"/>
                <w:sz w:val="21"/>
                <w:szCs w:val="21"/>
                <w:highlight w:val="none"/>
                <w:lang w:val="en-US" w:eastAsia="zh-CN"/>
              </w:rPr>
              <w:t>3</w:t>
            </w:r>
            <w:r>
              <w:rPr>
                <w:rFonts w:hint="eastAsia" w:ascii="宋体" w:hAnsi="宋体" w:eastAsia="宋体" w:cs="宋体"/>
                <w:b/>
                <w:bCs/>
                <w:i w:val="0"/>
                <w:iCs w:val="0"/>
                <w:color w:val="auto"/>
                <w:sz w:val="21"/>
                <w:szCs w:val="21"/>
                <w:highlight w:val="none"/>
                <w:lang w:eastAsia="zh-CN"/>
              </w:rPr>
              <w:t>）</w:t>
            </w:r>
            <w:r>
              <w:rPr>
                <w:rFonts w:hint="eastAsia" w:ascii="宋体" w:hAnsi="宋体" w:eastAsia="宋体" w:cs="宋体"/>
                <w:b/>
                <w:bCs/>
                <w:i w:val="0"/>
                <w:iCs w:val="0"/>
                <w:color w:val="auto"/>
                <w:sz w:val="21"/>
                <w:szCs w:val="21"/>
                <w:highlight w:val="none"/>
                <w:lang w:val="en-US" w:eastAsia="zh-CN"/>
              </w:rPr>
              <w:t>服务的同一</w:t>
            </w:r>
            <w:r>
              <w:rPr>
                <w:rFonts w:hint="eastAsia" w:ascii="宋体" w:hAnsi="宋体" w:eastAsia="宋体" w:cs="宋体"/>
                <w:b/>
                <w:bCs/>
                <w:i w:val="0"/>
                <w:iCs w:val="0"/>
                <w:color w:val="auto"/>
                <w:sz w:val="21"/>
                <w:szCs w:val="21"/>
                <w:highlight w:val="none"/>
                <w:lang w:eastAsia="zh-CN"/>
              </w:rPr>
              <w:t>单位具有多个业绩的，仅计分一次，并以最高分计。</w:t>
            </w:r>
          </w:p>
          <w:p w14:paraId="435D508E">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i w:val="0"/>
                <w:iCs w:val="0"/>
                <w:color w:val="auto"/>
                <w:sz w:val="21"/>
                <w:szCs w:val="21"/>
                <w:highlight w:val="none"/>
                <w:lang w:eastAsia="zh-CN"/>
              </w:rPr>
            </w:pPr>
            <w:r>
              <w:rPr>
                <w:rFonts w:hint="eastAsia" w:ascii="宋体" w:hAnsi="宋体" w:eastAsia="宋体" w:cs="宋体"/>
                <w:b/>
                <w:bCs/>
                <w:i w:val="0"/>
                <w:iCs w:val="0"/>
                <w:color w:val="auto"/>
                <w:sz w:val="21"/>
                <w:szCs w:val="21"/>
                <w:highlight w:val="none"/>
                <w:lang w:val="en-US" w:eastAsia="zh-CN"/>
              </w:rPr>
              <w:t>（4）需提供业绩所在地的社区/业委会的服务优秀证明，需要社区或者业委会负责人签字并盖有公章，无此证明材料或签字盖章不齐全，业绩合同不得分。</w:t>
            </w:r>
          </w:p>
          <w:p w14:paraId="6BD4BDE1">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i w:val="0"/>
                <w:iCs w:val="0"/>
                <w:color w:val="auto"/>
                <w:sz w:val="21"/>
                <w:szCs w:val="21"/>
                <w:highlight w:val="none"/>
                <w:lang w:eastAsia="zh-CN"/>
              </w:rPr>
            </w:pPr>
            <w:r>
              <w:rPr>
                <w:rFonts w:hint="eastAsia" w:ascii="宋体" w:hAnsi="宋体" w:eastAsia="宋体" w:cs="宋体"/>
                <w:b/>
                <w:bCs/>
                <w:i w:val="0"/>
                <w:iCs w:val="0"/>
                <w:color w:val="auto"/>
                <w:sz w:val="21"/>
                <w:szCs w:val="21"/>
                <w:highlight w:val="none"/>
                <w:lang w:val="en-US" w:eastAsia="zh-CN"/>
              </w:rPr>
              <w:t>（5）项目经理业绩与投标人业绩不得为</w:t>
            </w:r>
          </w:p>
          <w:p w14:paraId="0ED5268A">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i/>
                <w:iCs/>
                <w:color w:val="auto"/>
                <w:sz w:val="24"/>
                <w:highlight w:val="none"/>
              </w:rPr>
            </w:pPr>
            <w:r>
              <w:rPr>
                <w:rFonts w:hint="eastAsia" w:ascii="宋体" w:hAnsi="宋体" w:eastAsia="宋体" w:cs="宋体"/>
                <w:b/>
                <w:bCs/>
                <w:i w:val="0"/>
                <w:iCs w:val="0"/>
                <w:color w:val="auto"/>
                <w:sz w:val="21"/>
                <w:szCs w:val="21"/>
                <w:highlight w:val="none"/>
                <w:lang w:val="en-US" w:eastAsia="zh-CN"/>
              </w:rPr>
              <w:t>同一业绩，如果项目经理业绩与投标人业绩为同一业绩，项目经理工作经验不得低于三年，否则不得分。</w:t>
            </w:r>
          </w:p>
        </w:tc>
        <w:tc>
          <w:tcPr>
            <w:tcW w:w="928" w:type="pct"/>
            <w:tcBorders>
              <w:top w:val="single" w:color="auto" w:sz="4" w:space="0"/>
              <w:left w:val="single" w:color="auto" w:sz="4" w:space="0"/>
              <w:bottom w:val="single" w:color="auto" w:sz="4" w:space="0"/>
              <w:right w:val="single" w:color="auto" w:sz="4" w:space="0"/>
            </w:tcBorders>
            <w:vAlign w:val="center"/>
          </w:tcPr>
          <w:p w14:paraId="1028C03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i/>
                <w:iCs/>
                <w:color w:val="auto"/>
                <w:sz w:val="24"/>
                <w:highlight w:val="none"/>
              </w:rPr>
            </w:pPr>
            <w:r>
              <w:rPr>
                <w:rFonts w:hint="eastAsia" w:ascii="宋体" w:hAnsi="宋体" w:eastAsia="宋体" w:cs="宋体"/>
                <w:b/>
                <w:kern w:val="0"/>
                <w:sz w:val="22"/>
                <w:lang w:val="zh-CN" w:eastAsia="en-US" w:bidi="zh-CN"/>
              </w:rPr>
              <w:t>0-</w:t>
            </w:r>
            <w:r>
              <w:rPr>
                <w:rFonts w:hint="eastAsia" w:ascii="宋体" w:hAnsi="宋体" w:eastAsia="宋体" w:cs="宋体"/>
                <w:b/>
                <w:kern w:val="0"/>
                <w:sz w:val="22"/>
                <w:lang w:val="en-US" w:eastAsia="en-US" w:bidi="zh-CN"/>
              </w:rPr>
              <w:t>9</w:t>
            </w:r>
            <w:r>
              <w:rPr>
                <w:rFonts w:hint="eastAsia" w:ascii="宋体" w:hAnsi="宋体" w:eastAsia="宋体" w:cs="宋体"/>
                <w:b/>
                <w:kern w:val="0"/>
                <w:sz w:val="22"/>
                <w:lang w:val="zh-CN" w:eastAsia="en-US" w:bidi="zh-CN"/>
              </w:rPr>
              <w:t>分</w:t>
            </w:r>
          </w:p>
        </w:tc>
      </w:tr>
      <w:tr w14:paraId="2669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pct"/>
            <w:vMerge w:val="continue"/>
            <w:tcBorders>
              <w:left w:val="single" w:color="auto" w:sz="4" w:space="0"/>
              <w:right w:val="single" w:color="auto" w:sz="4" w:space="0"/>
            </w:tcBorders>
            <w:vAlign w:val="center"/>
          </w:tcPr>
          <w:p w14:paraId="077C4F27">
            <w:pPr>
              <w:pageBreakBefore w:val="0"/>
              <w:kinsoku/>
              <w:overflowPunct/>
              <w:topLinePunct w:val="0"/>
              <w:bidi w:val="0"/>
              <w:spacing w:line="360" w:lineRule="auto"/>
              <w:ind w:left="0" w:leftChars="0" w:right="0" w:rightChars="0" w:firstLine="435"/>
              <w:jc w:val="center"/>
              <w:textAlignment w:val="auto"/>
              <w:rPr>
                <w:rFonts w:hint="eastAsia" w:asciiTheme="minorEastAsia" w:hAnsiTheme="minorEastAsia" w:eastAsiaTheme="minorEastAsia" w:cs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EF039C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i/>
                <w:iCs/>
                <w:color w:val="auto"/>
                <w:sz w:val="24"/>
                <w:highlight w:val="none"/>
              </w:rPr>
            </w:pPr>
            <w:r>
              <w:rPr>
                <w:rFonts w:hint="eastAsia" w:ascii="宋体" w:hAnsi="宋体" w:eastAsia="宋体" w:cs="宋体"/>
                <w:color w:val="auto"/>
                <w:kern w:val="0"/>
                <w:sz w:val="22"/>
                <w:lang w:val="en-US" w:eastAsia="en-US" w:bidi="zh-CN"/>
              </w:rPr>
              <w:t>人员配备</w:t>
            </w:r>
          </w:p>
        </w:tc>
        <w:tc>
          <w:tcPr>
            <w:tcW w:w="2197" w:type="pct"/>
            <w:tcBorders>
              <w:top w:val="single" w:color="auto" w:sz="4" w:space="0"/>
              <w:left w:val="single" w:color="auto" w:sz="4" w:space="0"/>
              <w:bottom w:val="single" w:color="auto" w:sz="4" w:space="0"/>
              <w:right w:val="single" w:color="auto" w:sz="4" w:space="0"/>
            </w:tcBorders>
            <w:vAlign w:val="center"/>
          </w:tcPr>
          <w:p w14:paraId="75E5A6C6">
            <w:pPr>
              <w:spacing w:line="360" w:lineRule="auto"/>
              <w:jc w:val="left"/>
              <w:rPr>
                <w:rFonts w:hint="eastAsia" w:ascii="宋体" w:hAnsi="宋体" w:eastAsia="宋体" w:cs="宋体"/>
                <w:i w:val="0"/>
                <w:iCs w:val="0"/>
                <w:color w:val="auto"/>
                <w:sz w:val="22"/>
                <w:szCs w:val="22"/>
              </w:rPr>
            </w:pPr>
            <w:r>
              <w:rPr>
                <w:rFonts w:hint="eastAsia" w:ascii="宋体" w:hAnsi="宋体" w:eastAsia="宋体" w:cs="宋体"/>
                <w:i w:val="0"/>
                <w:iCs w:val="0"/>
                <w:color w:val="auto"/>
                <w:sz w:val="22"/>
                <w:szCs w:val="22"/>
              </w:rPr>
              <w:t>按</w:t>
            </w:r>
            <w:r>
              <w:rPr>
                <w:rFonts w:hint="eastAsia" w:ascii="宋体" w:hAnsi="宋体" w:eastAsia="宋体" w:cs="宋体"/>
                <w:i w:val="0"/>
                <w:iCs w:val="0"/>
                <w:color w:val="auto"/>
                <w:sz w:val="22"/>
                <w:szCs w:val="22"/>
                <w:highlight w:val="none"/>
                <w:lang w:val="en-US" w:eastAsia="zh-CN"/>
              </w:rPr>
              <w:t>服务需求最低</w:t>
            </w:r>
            <w:r>
              <w:rPr>
                <w:rFonts w:hint="eastAsia" w:ascii="宋体" w:hAnsi="宋体" w:eastAsia="宋体" w:cs="宋体"/>
                <w:i w:val="0"/>
                <w:iCs w:val="0"/>
                <w:color w:val="auto"/>
                <w:sz w:val="22"/>
                <w:szCs w:val="22"/>
                <w:highlight w:val="none"/>
              </w:rPr>
              <w:t>岗位配置人员的数量</w:t>
            </w:r>
            <w:r>
              <w:rPr>
                <w:rFonts w:hint="eastAsia" w:ascii="宋体" w:hAnsi="宋体" w:eastAsia="宋体" w:cs="宋体"/>
                <w:i w:val="0"/>
                <w:iCs w:val="0"/>
                <w:color w:val="auto"/>
                <w:sz w:val="22"/>
                <w:szCs w:val="22"/>
                <w:highlight w:val="none"/>
                <w:lang w:val="en-US" w:eastAsia="zh-CN"/>
              </w:rPr>
              <w:t>54人的</w:t>
            </w:r>
            <w:r>
              <w:rPr>
                <w:rFonts w:hint="eastAsia" w:ascii="宋体" w:hAnsi="宋体" w:eastAsia="宋体" w:cs="宋体"/>
                <w:i w:val="0"/>
                <w:iCs w:val="0"/>
                <w:color w:val="auto"/>
                <w:sz w:val="22"/>
                <w:szCs w:val="22"/>
                <w:highlight w:val="none"/>
              </w:rPr>
              <w:t>标准</w:t>
            </w:r>
            <w:r>
              <w:rPr>
                <w:rFonts w:hint="eastAsia" w:ascii="宋体" w:hAnsi="宋体" w:eastAsia="宋体" w:cs="宋体"/>
                <w:i w:val="0"/>
                <w:iCs w:val="0"/>
                <w:color w:val="auto"/>
                <w:sz w:val="22"/>
                <w:szCs w:val="22"/>
                <w:highlight w:val="none"/>
                <w:lang w:val="en-US" w:eastAsia="zh-CN"/>
              </w:rPr>
              <w:t>的基础上</w:t>
            </w:r>
            <w:r>
              <w:rPr>
                <w:rFonts w:hint="eastAsia" w:ascii="宋体" w:hAnsi="宋体" w:eastAsia="宋体" w:cs="宋体"/>
                <w:i w:val="0"/>
                <w:iCs w:val="0"/>
                <w:color w:val="auto"/>
                <w:sz w:val="22"/>
                <w:szCs w:val="22"/>
                <w:highlight w:val="none"/>
              </w:rPr>
              <w:t>，每多配置一人</w:t>
            </w:r>
            <w:r>
              <w:rPr>
                <w:rFonts w:hint="eastAsia" w:ascii="宋体" w:hAnsi="宋体" w:eastAsia="宋体" w:cs="宋体"/>
                <w:i w:val="0"/>
                <w:iCs w:val="0"/>
                <w:color w:val="auto"/>
                <w:sz w:val="22"/>
                <w:szCs w:val="22"/>
              </w:rPr>
              <w:t>得</w:t>
            </w:r>
            <w:r>
              <w:rPr>
                <w:rFonts w:hint="eastAsia" w:ascii="宋体" w:hAnsi="宋体" w:eastAsia="宋体" w:cs="宋体"/>
                <w:i w:val="0"/>
                <w:iCs w:val="0"/>
                <w:color w:val="auto"/>
                <w:sz w:val="22"/>
                <w:szCs w:val="22"/>
                <w:lang w:val="en-US" w:eastAsia="zh-CN"/>
              </w:rPr>
              <w:t>2</w:t>
            </w:r>
            <w:r>
              <w:rPr>
                <w:rFonts w:hint="eastAsia" w:ascii="宋体" w:hAnsi="宋体" w:eastAsia="宋体" w:cs="宋体"/>
                <w:i w:val="0"/>
                <w:iCs w:val="0"/>
                <w:color w:val="auto"/>
                <w:sz w:val="22"/>
                <w:szCs w:val="22"/>
              </w:rPr>
              <w:t>分，满分</w:t>
            </w:r>
            <w:r>
              <w:rPr>
                <w:rFonts w:hint="eastAsia" w:ascii="宋体" w:hAnsi="宋体" w:eastAsia="宋体" w:cs="宋体"/>
                <w:i w:val="0"/>
                <w:iCs w:val="0"/>
                <w:color w:val="auto"/>
                <w:sz w:val="22"/>
                <w:szCs w:val="22"/>
                <w:lang w:val="en-US" w:eastAsia="zh-CN"/>
              </w:rPr>
              <w:t>10</w:t>
            </w:r>
            <w:r>
              <w:rPr>
                <w:rFonts w:hint="eastAsia" w:ascii="宋体" w:hAnsi="宋体" w:eastAsia="宋体" w:cs="宋体"/>
                <w:i w:val="0"/>
                <w:iCs w:val="0"/>
                <w:color w:val="auto"/>
                <w:sz w:val="22"/>
                <w:szCs w:val="22"/>
              </w:rPr>
              <w:t>分。</w:t>
            </w:r>
          </w:p>
          <w:p w14:paraId="7C0B5458">
            <w:pPr>
              <w:spacing w:line="360" w:lineRule="auto"/>
              <w:jc w:val="left"/>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注：须提供上述人员身份证扫描件。</w:t>
            </w:r>
          </w:p>
          <w:p w14:paraId="54848E84">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i/>
                <w:iCs/>
                <w:color w:val="auto"/>
                <w:sz w:val="24"/>
                <w:highlight w:val="none"/>
              </w:rPr>
            </w:pPr>
            <w:r>
              <w:rPr>
                <w:rFonts w:hint="eastAsia" w:ascii="宋体" w:hAnsi="宋体" w:eastAsia="宋体" w:cs="宋体"/>
                <w:b/>
                <w:bCs/>
                <w:i w:val="0"/>
                <w:iCs w:val="0"/>
                <w:color w:val="auto"/>
                <w:sz w:val="22"/>
                <w:szCs w:val="22"/>
                <w:highlight w:val="none"/>
              </w:rPr>
              <w:t>（备注：请投标人核算好运营成本，不要为中标而虚假承诺，中标后根据投标文件据实实施）</w:t>
            </w:r>
          </w:p>
        </w:tc>
        <w:tc>
          <w:tcPr>
            <w:tcW w:w="928" w:type="pct"/>
            <w:tcBorders>
              <w:top w:val="single" w:color="auto" w:sz="4" w:space="0"/>
              <w:left w:val="single" w:color="auto" w:sz="4" w:space="0"/>
              <w:bottom w:val="single" w:color="auto" w:sz="4" w:space="0"/>
              <w:right w:val="single" w:color="auto" w:sz="4" w:space="0"/>
            </w:tcBorders>
            <w:vAlign w:val="center"/>
          </w:tcPr>
          <w:p w14:paraId="1A63CC9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i/>
                <w:iCs/>
                <w:color w:val="auto"/>
                <w:sz w:val="24"/>
                <w:highlight w:val="none"/>
              </w:rPr>
            </w:pPr>
            <w:r>
              <w:rPr>
                <w:rFonts w:hint="eastAsia" w:ascii="宋体" w:hAnsi="宋体" w:eastAsia="宋体" w:cs="宋体"/>
                <w:b/>
                <w:kern w:val="0"/>
                <w:sz w:val="22"/>
                <w:lang w:val="en-US" w:eastAsia="en-US" w:bidi="zh-CN"/>
              </w:rPr>
              <w:t>0-10分</w:t>
            </w:r>
          </w:p>
        </w:tc>
      </w:tr>
      <w:tr w14:paraId="53A9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pct"/>
            <w:vMerge w:val="continue"/>
            <w:tcBorders>
              <w:left w:val="single" w:color="auto" w:sz="4" w:space="0"/>
              <w:right w:val="single" w:color="auto" w:sz="4" w:space="0"/>
            </w:tcBorders>
            <w:vAlign w:val="center"/>
          </w:tcPr>
          <w:p w14:paraId="37F840BB">
            <w:pPr>
              <w:pageBreakBefore w:val="0"/>
              <w:kinsoku/>
              <w:overflowPunct/>
              <w:topLinePunct w:val="0"/>
              <w:bidi w:val="0"/>
              <w:spacing w:line="360" w:lineRule="auto"/>
              <w:ind w:left="0" w:leftChars="0" w:right="0" w:rightChars="0" w:firstLine="435"/>
              <w:jc w:val="center"/>
              <w:textAlignment w:val="auto"/>
              <w:rPr>
                <w:rFonts w:hint="eastAsia" w:asciiTheme="minorEastAsia" w:hAnsiTheme="minorEastAsia" w:eastAsiaTheme="minorEastAsia" w:cs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F010FE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i/>
                <w:iCs/>
                <w:color w:val="auto"/>
                <w:sz w:val="24"/>
                <w:highlight w:val="none"/>
              </w:rPr>
            </w:pPr>
            <w:r>
              <w:rPr>
                <w:rFonts w:hint="eastAsia" w:ascii="宋体" w:hAnsi="宋体" w:eastAsia="宋体" w:cs="宋体"/>
                <w:color w:val="auto"/>
                <w:kern w:val="2"/>
                <w:sz w:val="22"/>
                <w:szCs w:val="22"/>
                <w:highlight w:val="none"/>
                <w:lang w:val="en-US" w:eastAsia="zh-CN" w:bidi="ar-SA"/>
              </w:rPr>
              <w:t>增值服务</w:t>
            </w:r>
          </w:p>
        </w:tc>
        <w:tc>
          <w:tcPr>
            <w:tcW w:w="2197" w:type="pct"/>
            <w:tcBorders>
              <w:top w:val="single" w:color="auto" w:sz="4" w:space="0"/>
              <w:left w:val="single" w:color="auto" w:sz="4" w:space="0"/>
              <w:bottom w:val="single" w:color="auto" w:sz="4" w:space="0"/>
              <w:right w:val="single" w:color="auto" w:sz="4" w:space="0"/>
            </w:tcBorders>
            <w:vAlign w:val="center"/>
          </w:tcPr>
          <w:p w14:paraId="13E86504">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按投标人提出的增值服务项目数量计算，同类型项目按一个项目计算，比如D区补栏杆，E区补栏杆，只能算作一个项目，每个项目1分，满分15分。</w:t>
            </w:r>
          </w:p>
          <w:p w14:paraId="76DD1B1B">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t>增值服务是指投标人针对本小区的情况认为需要整改的且未在物业服务要求中明确的内容，如增设公共区域设施，及承接勘验前的1000元以内的小额维修等，投标人能够自行承担维修费用的增值项目，仅限于小区设备设施等相关的事项，如填写送大米、面巾纸、水卡、优惠券等不得分。</w:t>
            </w:r>
          </w:p>
          <w:p w14:paraId="3AE44F54">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i/>
                <w:iCs/>
                <w:color w:val="auto"/>
                <w:sz w:val="24"/>
                <w:highlight w:val="none"/>
              </w:rPr>
            </w:pPr>
            <w:r>
              <w:rPr>
                <w:rFonts w:hint="eastAsia" w:ascii="宋体" w:hAnsi="宋体" w:eastAsia="宋体" w:cs="宋体"/>
                <w:b/>
                <w:bCs/>
                <w:color w:val="auto"/>
                <w:kern w:val="2"/>
                <w:sz w:val="22"/>
                <w:szCs w:val="22"/>
                <w:highlight w:val="none"/>
                <w:lang w:val="en-US" w:eastAsia="zh-CN" w:bidi="ar-SA"/>
              </w:rPr>
              <w:t>注：评标委员会依据投标人承诺提供的增值服务内容进行评审，格式自拟，加盖单位公章。此项内容与成交结果同时公布。</w:t>
            </w:r>
          </w:p>
        </w:tc>
        <w:tc>
          <w:tcPr>
            <w:tcW w:w="928" w:type="pct"/>
            <w:tcBorders>
              <w:top w:val="single" w:color="auto" w:sz="4" w:space="0"/>
              <w:left w:val="single" w:color="auto" w:sz="4" w:space="0"/>
              <w:bottom w:val="single" w:color="auto" w:sz="4" w:space="0"/>
              <w:right w:val="single" w:color="auto" w:sz="4" w:space="0"/>
            </w:tcBorders>
            <w:vAlign w:val="center"/>
          </w:tcPr>
          <w:p w14:paraId="769E28B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i/>
                <w:iCs/>
                <w:color w:val="auto"/>
                <w:sz w:val="24"/>
                <w:highlight w:val="none"/>
              </w:rPr>
            </w:pPr>
            <w:r>
              <w:rPr>
                <w:rFonts w:hint="eastAsia" w:ascii="宋体" w:hAnsi="宋体" w:eastAsia="宋体" w:cs="宋体"/>
                <w:b/>
                <w:kern w:val="0"/>
                <w:sz w:val="22"/>
                <w:lang w:val="en-US" w:eastAsia="en-US" w:bidi="zh-CN"/>
              </w:rPr>
              <w:t>0-15分</w:t>
            </w:r>
          </w:p>
        </w:tc>
      </w:tr>
      <w:tr w14:paraId="4726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864" w:type="pct"/>
            <w:vMerge w:val="continue"/>
            <w:tcBorders>
              <w:left w:val="single" w:color="auto" w:sz="4" w:space="0"/>
              <w:right w:val="single" w:color="auto" w:sz="4" w:space="0"/>
            </w:tcBorders>
            <w:vAlign w:val="center"/>
          </w:tcPr>
          <w:p w14:paraId="6FE6B895">
            <w:pPr>
              <w:pageBreakBefore w:val="0"/>
              <w:kinsoku/>
              <w:overflowPunct/>
              <w:topLinePunct w:val="0"/>
              <w:bidi w:val="0"/>
              <w:spacing w:line="360" w:lineRule="auto"/>
              <w:ind w:left="0" w:leftChars="0" w:right="0" w:rightChars="0" w:firstLine="435"/>
              <w:jc w:val="center"/>
              <w:textAlignment w:val="auto"/>
              <w:rPr>
                <w:rFonts w:hint="eastAsia" w:asciiTheme="minorEastAsia" w:hAnsiTheme="minorEastAsia" w:eastAsiaTheme="minorEastAsia" w:cs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4BA2BABF">
            <w:pPr>
              <w:pageBreakBefore w:val="0"/>
              <w:kinsoku/>
              <w:overflowPunct/>
              <w:topLinePunct w:val="0"/>
              <w:bidi w:val="0"/>
              <w:spacing w:line="360" w:lineRule="auto"/>
              <w:ind w:left="0" w:leftChars="0" w:right="0" w:rightChars="0"/>
              <w:jc w:val="center"/>
              <w:textAlignment w:val="auto"/>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监控全覆盖承诺</w:t>
            </w:r>
          </w:p>
        </w:tc>
        <w:tc>
          <w:tcPr>
            <w:tcW w:w="2197" w:type="pct"/>
            <w:tcBorders>
              <w:top w:val="single" w:color="auto" w:sz="4" w:space="0"/>
              <w:left w:val="single" w:color="auto" w:sz="4" w:space="0"/>
              <w:bottom w:val="single" w:color="auto" w:sz="4" w:space="0"/>
              <w:right w:val="single" w:color="auto" w:sz="4" w:space="0"/>
            </w:tcBorders>
            <w:vAlign w:val="center"/>
          </w:tcPr>
          <w:p w14:paraId="0DE9ECE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right="0" w:rightChars="0"/>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bidi="ar-SA"/>
              </w:rPr>
              <w:t>供应商承诺进场后6个月内小区内</w:t>
            </w:r>
            <w:r>
              <w:rPr>
                <w:rFonts w:hint="eastAsia" w:ascii="宋体" w:hAnsi="宋体" w:eastAsia="宋体" w:cs="宋体"/>
                <w:b w:val="0"/>
                <w:bCs w:val="0"/>
                <w:color w:val="auto"/>
                <w:sz w:val="22"/>
                <w:szCs w:val="22"/>
                <w:highlight w:val="none"/>
                <w:lang w:val="en-US" w:eastAsia="zh-CN"/>
              </w:rPr>
              <w:t>监控达到全覆盖无死角，且所需要的维修、更换、增添监控等全部费用全部由供应商自行承担的得10分；承诺格式自拟。</w:t>
            </w:r>
          </w:p>
          <w:p w14:paraId="16FFB72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right="0" w:rightChars="0"/>
              <w:textAlignment w:val="auto"/>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bCs/>
                <w:i w:val="0"/>
                <w:iCs w:val="0"/>
                <w:color w:val="auto"/>
                <w:sz w:val="22"/>
                <w:szCs w:val="22"/>
                <w:highlight w:val="none"/>
              </w:rPr>
              <w:t>（备注：请投标人核算好运营成本，不要为中标而虚假承诺，中标后根据投标文件据实实施）</w:t>
            </w:r>
          </w:p>
        </w:tc>
        <w:tc>
          <w:tcPr>
            <w:tcW w:w="928" w:type="pct"/>
            <w:tcBorders>
              <w:top w:val="single" w:color="auto" w:sz="4" w:space="0"/>
              <w:left w:val="single" w:color="auto" w:sz="4" w:space="0"/>
              <w:bottom w:val="single" w:color="auto" w:sz="4" w:space="0"/>
              <w:right w:val="single" w:color="auto" w:sz="4" w:space="0"/>
            </w:tcBorders>
            <w:vAlign w:val="center"/>
          </w:tcPr>
          <w:p w14:paraId="128EAFB7">
            <w:pPr>
              <w:pageBreakBefore w:val="0"/>
              <w:kinsoku/>
              <w:overflowPunct/>
              <w:topLinePunct w:val="0"/>
              <w:bidi w:val="0"/>
              <w:spacing w:line="360" w:lineRule="auto"/>
              <w:ind w:left="0" w:leftChars="0" w:right="0" w:rightChars="0"/>
              <w:jc w:val="center"/>
              <w:textAlignment w:val="auto"/>
              <w:rPr>
                <w:rFonts w:hint="default" w:ascii="宋体" w:hAnsi="宋体" w:eastAsia="宋体" w:cs="宋体"/>
                <w:b/>
                <w:kern w:val="0"/>
                <w:sz w:val="22"/>
                <w:lang w:val="en-US" w:eastAsia="zh-CN" w:bidi="zh-CN"/>
              </w:rPr>
            </w:pPr>
            <w:r>
              <w:rPr>
                <w:rFonts w:hint="eastAsia" w:ascii="宋体" w:hAnsi="宋体" w:eastAsia="宋体" w:cs="宋体"/>
                <w:b/>
                <w:kern w:val="0"/>
                <w:sz w:val="22"/>
                <w:lang w:val="en-US" w:eastAsia="zh-CN" w:bidi="zh-CN"/>
              </w:rPr>
              <w:t>0-10分</w:t>
            </w:r>
          </w:p>
        </w:tc>
      </w:tr>
      <w:tr w14:paraId="7C0B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64" w:type="pct"/>
            <w:vMerge w:val="continue"/>
            <w:tcBorders>
              <w:left w:val="single" w:color="auto" w:sz="4" w:space="0"/>
              <w:right w:val="single" w:color="auto" w:sz="4" w:space="0"/>
            </w:tcBorders>
            <w:vAlign w:val="center"/>
          </w:tcPr>
          <w:p w14:paraId="5BEDEF13">
            <w:pPr>
              <w:pageBreakBefore w:val="0"/>
              <w:kinsoku/>
              <w:overflowPunct/>
              <w:topLinePunct w:val="0"/>
              <w:bidi w:val="0"/>
              <w:spacing w:line="360" w:lineRule="auto"/>
              <w:ind w:left="0" w:leftChars="0" w:right="0" w:rightChars="0" w:firstLine="435"/>
              <w:jc w:val="center"/>
              <w:textAlignment w:val="auto"/>
              <w:rPr>
                <w:rFonts w:hint="eastAsia" w:asciiTheme="minorEastAsia" w:hAnsiTheme="minorEastAsia" w:eastAsiaTheme="minorEastAsia" w:cstheme="minorEastAsia"/>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301CAE3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eastAsia="宋体" w:cs="宋体"/>
                <w:color w:val="auto"/>
                <w:kern w:val="2"/>
                <w:sz w:val="22"/>
                <w:szCs w:val="22"/>
                <w:highlight w:val="none"/>
                <w:lang w:val="en-US" w:eastAsia="zh-CN" w:bidi="ar-SA"/>
              </w:rPr>
              <w:t>公共收益</w:t>
            </w:r>
          </w:p>
        </w:tc>
        <w:tc>
          <w:tcPr>
            <w:tcW w:w="2197" w:type="pct"/>
            <w:tcBorders>
              <w:top w:val="single" w:color="auto" w:sz="4" w:space="0"/>
              <w:left w:val="single" w:color="auto" w:sz="4" w:space="0"/>
              <w:bottom w:val="single" w:color="auto" w:sz="4" w:space="0"/>
              <w:right w:val="single" w:color="auto" w:sz="4" w:space="0"/>
            </w:tcBorders>
            <w:vAlign w:val="center"/>
          </w:tcPr>
          <w:p w14:paraId="640D53CE">
            <w:pPr>
              <w:pageBreakBefore w:val="0"/>
              <w:numPr>
                <w:ilvl w:val="0"/>
                <w:numId w:val="0"/>
              </w:numPr>
              <w:kinsoku/>
              <w:overflowPunct/>
              <w:topLinePunct w:val="0"/>
              <w:bidi w:val="0"/>
              <w:spacing w:line="360" w:lineRule="auto"/>
              <w:ind w:right="0" w:rightChars="0"/>
              <w:jc w:val="left"/>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公共收益分成比例最高限额：30%，投标人自行报价需取用的公共收益分成比例并加盖公章</w:t>
            </w:r>
            <w:r>
              <w:rPr>
                <w:rFonts w:hint="eastAsia" w:ascii="宋体" w:hAnsi="宋体" w:eastAsia="宋体" w:cs="宋体"/>
                <w:b w:val="0"/>
                <w:bCs w:val="0"/>
                <w:color w:val="auto"/>
                <w:kern w:val="2"/>
                <w:sz w:val="22"/>
                <w:szCs w:val="22"/>
                <w:highlight w:val="none"/>
                <w:lang w:val="en-US" w:eastAsia="zh-CN" w:bidi="ar-SA"/>
              </w:rPr>
              <w:t>并承诺每月10号之前结算清楚上个月的公共收益，并把上个月的公共收益转入业委会账户。</w:t>
            </w:r>
            <w:r>
              <w:rPr>
                <w:rFonts w:hint="eastAsia" w:ascii="宋体" w:hAnsi="宋体" w:eastAsia="宋体" w:cs="宋体"/>
                <w:color w:val="auto"/>
                <w:kern w:val="2"/>
                <w:sz w:val="22"/>
                <w:szCs w:val="22"/>
                <w:highlight w:val="none"/>
                <w:lang w:val="en-US" w:eastAsia="zh-CN" w:bidi="ar-SA"/>
              </w:rPr>
              <w:t>格式自拟。</w:t>
            </w:r>
          </w:p>
          <w:p w14:paraId="732C231B">
            <w:pPr>
              <w:pageBreakBefore w:val="0"/>
              <w:kinsoku/>
              <w:overflowPunct/>
              <w:topLinePunct w:val="0"/>
              <w:bidi w:val="0"/>
              <w:spacing w:line="360" w:lineRule="auto"/>
              <w:ind w:left="0" w:leftChars="0" w:right="0" w:rightChars="0"/>
              <w:jc w:val="left"/>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备注：</w:t>
            </w:r>
          </w:p>
          <w:p w14:paraId="403E8EA5">
            <w:pPr>
              <w:pageBreakBefore w:val="0"/>
              <w:numPr>
                <w:ilvl w:val="0"/>
                <w:numId w:val="0"/>
              </w:numPr>
              <w:kinsoku/>
              <w:overflowPunct/>
              <w:topLinePunct w:val="0"/>
              <w:bidi w:val="0"/>
              <w:spacing w:line="360" w:lineRule="auto"/>
              <w:ind w:right="0" w:rightChars="0"/>
              <w:jc w:val="left"/>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（1）评标委员会依据投标人提供的比例进行评审，从高到低，分数递增，每降低1%得0.2分（如：公共收益分成比例报价为20%，则本项得分为2分；公共收益分成比例报价为10%，则本项得分为4分），本项满分6分。</w:t>
            </w:r>
          </w:p>
          <w:p w14:paraId="371156A5">
            <w:pPr>
              <w:pageBreakBefore w:val="0"/>
              <w:kinsoku/>
              <w:overflowPunct/>
              <w:topLinePunct w:val="0"/>
              <w:bidi w:val="0"/>
              <w:spacing w:line="360" w:lineRule="auto"/>
              <w:ind w:left="0" w:leftChars="0" w:right="0" w:rightChars="0"/>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（2）最终公共收益分成比例在业主大会召开后或全体业主表决后，根据业主表决结果执行，如有冲突，以全体业主表决结果为准。</w:t>
            </w:r>
          </w:p>
          <w:p w14:paraId="09F03E3F">
            <w:pPr>
              <w:pageBreakBefore w:val="0"/>
              <w:kinsoku/>
              <w:overflowPunct/>
              <w:topLinePunct w:val="0"/>
              <w:bidi w:val="0"/>
              <w:spacing w:line="360" w:lineRule="auto"/>
              <w:ind w:left="0" w:leftChars="0" w:right="0" w:rightChars="0"/>
              <w:textAlignment w:val="auto"/>
              <w:rPr>
                <w:rFonts w:hint="eastAsia"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（3）中标人须把上月公共收益清算无误后，扣除己方分成（通过业主大会表决后的比例分成），把剩余部分转入业委会账户。另外须提供所核算的公共收益具体明细表，盖公章后送业委会报备。</w:t>
            </w:r>
          </w:p>
        </w:tc>
        <w:tc>
          <w:tcPr>
            <w:tcW w:w="928" w:type="pct"/>
            <w:tcBorders>
              <w:top w:val="single" w:color="auto" w:sz="4" w:space="0"/>
              <w:left w:val="single" w:color="auto" w:sz="4" w:space="0"/>
              <w:bottom w:val="single" w:color="auto" w:sz="4" w:space="0"/>
              <w:right w:val="single" w:color="auto" w:sz="4" w:space="0"/>
            </w:tcBorders>
            <w:vAlign w:val="center"/>
          </w:tcPr>
          <w:p w14:paraId="674983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24"/>
                <w:highlight w:val="none"/>
              </w:rPr>
            </w:pPr>
            <w:r>
              <w:rPr>
                <w:rFonts w:hint="eastAsia" w:ascii="宋体" w:hAnsi="宋体" w:eastAsia="宋体" w:cs="宋体"/>
                <w:b/>
                <w:kern w:val="0"/>
                <w:sz w:val="22"/>
                <w:lang w:val="en-US" w:eastAsia="zh-CN" w:bidi="zh-CN"/>
              </w:rPr>
              <w:t>0-6分</w:t>
            </w:r>
          </w:p>
        </w:tc>
      </w:tr>
      <w:tr w14:paraId="30202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pct"/>
            <w:tcBorders>
              <w:left w:val="single" w:color="auto" w:sz="4" w:space="0"/>
              <w:right w:val="single" w:color="auto" w:sz="4" w:space="0"/>
            </w:tcBorders>
            <w:vAlign w:val="center"/>
          </w:tcPr>
          <w:p w14:paraId="6FFA509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价格分</w:t>
            </w:r>
          </w:p>
          <w:p w14:paraId="2F90745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10</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分）</w:t>
            </w:r>
          </w:p>
        </w:tc>
        <w:tc>
          <w:tcPr>
            <w:tcW w:w="4135" w:type="pct"/>
            <w:gridSpan w:val="3"/>
            <w:tcBorders>
              <w:top w:val="single" w:color="auto" w:sz="4" w:space="0"/>
              <w:left w:val="single" w:color="auto" w:sz="4" w:space="0"/>
              <w:bottom w:val="single" w:color="auto" w:sz="4" w:space="0"/>
              <w:right w:val="single" w:color="auto" w:sz="4" w:space="0"/>
            </w:tcBorders>
            <w:vAlign w:val="center"/>
          </w:tcPr>
          <w:p w14:paraId="17F2141F">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10</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分。其他投标人的价格分统一按照下列公式计算：</w:t>
            </w:r>
          </w:p>
          <w:p w14:paraId="7EAAF655">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rPr>
              <w:t>投标报价得分＝（评标基准价/投标报价）×</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10</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％×100</w:t>
            </w:r>
          </w:p>
        </w:tc>
      </w:tr>
    </w:tbl>
    <w:p w14:paraId="1BCAF10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.3分值汇总</w:t>
      </w:r>
    </w:p>
    <w:p w14:paraId="3244311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1B83201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（2）将投标人的技术资信分加上根据上述标准计算出的价格分，即为该投标人的综合总得分。</w:t>
      </w:r>
    </w:p>
    <w:p w14:paraId="348899A5">
      <w:pPr>
        <w:rPr>
          <w:rStyle w:val="19"/>
          <w:rFonts w:hint="eastAsia" w:asciiTheme="minorEastAsia" w:hAnsiTheme="minorEastAsia" w:eastAsiaTheme="minorEastAsia" w:cstheme="minorEastAsia"/>
          <w:color w:val="auto"/>
          <w:kern w:val="44"/>
          <w:sz w:val="44"/>
          <w:szCs w:val="44"/>
          <w:highlight w:val="none"/>
          <w:lang w:val="en-US" w:eastAsia="zh-CN" w:bidi="ar-SA"/>
        </w:rPr>
      </w:pPr>
      <w:r>
        <w:rPr>
          <w:rStyle w:val="19"/>
          <w:rFonts w:hint="eastAsia" w:asciiTheme="minorEastAsia" w:hAnsiTheme="minorEastAsia" w:eastAsiaTheme="minorEastAsia" w:cstheme="minorEastAsia"/>
          <w:color w:val="auto"/>
          <w:kern w:val="44"/>
          <w:sz w:val="44"/>
          <w:szCs w:val="44"/>
          <w:highlight w:val="none"/>
          <w:lang w:val="en-US" w:eastAsia="zh-CN" w:bidi="ar-SA"/>
        </w:rPr>
        <w:br w:type="page"/>
      </w:r>
    </w:p>
    <w:p w14:paraId="5A319D7A">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0"/>
        <w:rPr>
          <w:rStyle w:val="19"/>
          <w:rFonts w:hint="eastAsia" w:asciiTheme="minorEastAsia" w:hAnsiTheme="minorEastAsia" w:eastAsiaTheme="minorEastAsia" w:cstheme="minorEastAsia"/>
          <w:color w:val="auto"/>
          <w:kern w:val="44"/>
          <w:sz w:val="44"/>
          <w:szCs w:val="44"/>
          <w:highlight w:val="none"/>
          <w:lang w:val="en-US" w:eastAsia="zh-CN" w:bidi="ar-SA"/>
        </w:rPr>
      </w:pPr>
      <w:bookmarkStart w:id="143" w:name="_Toc15536"/>
      <w:r>
        <w:rPr>
          <w:rStyle w:val="19"/>
          <w:rFonts w:hint="eastAsia" w:asciiTheme="minorEastAsia" w:hAnsiTheme="minorEastAsia" w:eastAsiaTheme="minorEastAsia" w:cstheme="minorEastAsia"/>
          <w:color w:val="auto"/>
          <w:kern w:val="44"/>
          <w:sz w:val="44"/>
          <w:szCs w:val="44"/>
          <w:highlight w:val="none"/>
          <w:lang w:val="en-US" w:eastAsia="zh-CN" w:bidi="ar-SA"/>
        </w:rPr>
        <w:t>第五章  合同</w:t>
      </w:r>
      <w:bookmarkEnd w:id="141"/>
      <w:bookmarkEnd w:id="142"/>
      <w:bookmarkEnd w:id="143"/>
    </w:p>
    <w:p w14:paraId="0607BD1D">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28"/>
          <w:szCs w:val="28"/>
          <w:highlight w:val="none"/>
        </w:rPr>
      </w:pPr>
      <w:bookmarkStart w:id="144" w:name="_Toc331685784"/>
    </w:p>
    <w:p w14:paraId="4EAF5AD9">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28"/>
          <w:szCs w:val="28"/>
          <w:highlight w:val="none"/>
        </w:rPr>
      </w:pPr>
    </w:p>
    <w:p w14:paraId="2F09B3D1">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28"/>
          <w:szCs w:val="28"/>
          <w:highlight w:val="none"/>
        </w:rPr>
      </w:pPr>
      <w:bookmarkStart w:id="145" w:name="_Toc8560"/>
      <w:bookmarkStart w:id="146" w:name="_Toc10303"/>
      <w:r>
        <w:rPr>
          <w:rFonts w:hint="eastAsia" w:asciiTheme="minorEastAsia" w:hAnsiTheme="minorEastAsia" w:eastAsiaTheme="minorEastAsia" w:cstheme="minorEastAsia"/>
          <w:b/>
          <w:color w:val="auto"/>
          <w:sz w:val="28"/>
          <w:szCs w:val="28"/>
          <w:highlight w:val="none"/>
        </w:rPr>
        <w:t>（服务类）</w:t>
      </w:r>
      <w:bookmarkEnd w:id="145"/>
      <w:bookmarkEnd w:id="146"/>
    </w:p>
    <w:p w14:paraId="7DC04CF1">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color w:val="auto"/>
          <w:highlight w:val="none"/>
        </w:rPr>
      </w:pPr>
    </w:p>
    <w:p w14:paraId="2CDB1AB4">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28"/>
          <w:szCs w:val="28"/>
          <w:highlight w:val="none"/>
        </w:rPr>
      </w:pPr>
      <w:bookmarkStart w:id="147" w:name="_Toc27321"/>
      <w:bookmarkStart w:id="148" w:name="_Toc3714"/>
      <w:r>
        <w:rPr>
          <w:rFonts w:hint="eastAsia" w:asciiTheme="minorEastAsia" w:hAnsiTheme="minorEastAsia" w:eastAsiaTheme="minorEastAsia" w:cstheme="minorEastAsia"/>
          <w:b/>
          <w:color w:val="auto"/>
          <w:sz w:val="28"/>
          <w:szCs w:val="28"/>
          <w:highlight w:val="none"/>
        </w:rPr>
        <w:t>合同参考范本</w:t>
      </w:r>
      <w:bookmarkEnd w:id="147"/>
      <w:bookmarkEnd w:id="148"/>
    </w:p>
    <w:p w14:paraId="6ECC498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p>
    <w:p w14:paraId="3AFBC8D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p>
    <w:p w14:paraId="1E23B73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p>
    <w:p w14:paraId="20D80E3B">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rPr>
      </w:pPr>
      <w:bookmarkStart w:id="149" w:name="_Toc4634"/>
      <w:bookmarkStart w:id="150" w:name="_Toc2449"/>
      <w:r>
        <w:rPr>
          <w:rFonts w:hint="eastAsia" w:asciiTheme="minorEastAsia" w:hAnsiTheme="minorEastAsia" w:eastAsiaTheme="minorEastAsia" w:cstheme="minorEastAsia"/>
          <w:b/>
          <w:color w:val="auto"/>
          <w:sz w:val="24"/>
          <w:highlight w:val="none"/>
        </w:rPr>
        <w:t>第一部分 合同书</w:t>
      </w:r>
      <w:bookmarkEnd w:id="149"/>
      <w:bookmarkEnd w:id="150"/>
    </w:p>
    <w:p w14:paraId="7E1FCC3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p>
    <w:p w14:paraId="0C1A231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p>
    <w:p w14:paraId="43C7328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p>
    <w:p w14:paraId="5EFE946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p>
    <w:p w14:paraId="540EAC0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p>
    <w:p w14:paraId="401A8D2E">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color w:val="auto"/>
          <w:highlight w:val="none"/>
        </w:rPr>
      </w:pPr>
    </w:p>
    <w:p w14:paraId="3A1D32BA">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color w:val="auto"/>
          <w:highlight w:val="none"/>
        </w:rPr>
      </w:pPr>
    </w:p>
    <w:p w14:paraId="2819824E">
      <w:pPr>
        <w:pageBreakBefore w:val="0"/>
        <w:kinsoku/>
        <w:overflowPunct/>
        <w:topLinePunct w:val="0"/>
        <w:bidi w:val="0"/>
        <w:spacing w:line="360" w:lineRule="auto"/>
        <w:ind w:left="0" w:leftChars="0" w:right="0" w:rightChars="0" w:firstLine="960" w:firstLineChars="4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i/>
          <w:iCs/>
          <w:color w:val="auto"/>
          <w:sz w:val="24"/>
          <w:szCs w:val="24"/>
          <w:highlight w:val="none"/>
        </w:rPr>
        <w:t>（分包项目须填写完整的分包号及分包名称）</w:t>
      </w:r>
    </w:p>
    <w:p w14:paraId="2AEFD154">
      <w:pPr>
        <w:pageBreakBefore w:val="0"/>
        <w:kinsoku/>
        <w:overflowPunct/>
        <w:topLinePunct w:val="0"/>
        <w:bidi w:val="0"/>
        <w:spacing w:line="360" w:lineRule="auto"/>
        <w:ind w:left="0" w:leftChars="0" w:right="0" w:rightChars="0" w:firstLine="960" w:firstLineChars="4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项目编号：</w:t>
      </w:r>
      <w:r>
        <w:rPr>
          <w:rFonts w:hint="eastAsia" w:asciiTheme="minorEastAsia" w:hAnsiTheme="minorEastAsia" w:eastAsiaTheme="minorEastAsia" w:cstheme="minorEastAsia"/>
          <w:color w:val="auto"/>
          <w:sz w:val="24"/>
          <w:szCs w:val="24"/>
          <w:highlight w:val="none"/>
          <w:u w:val="single"/>
        </w:rPr>
        <w:t xml:space="preserve">        </w:t>
      </w:r>
    </w:p>
    <w:p w14:paraId="085B0ED8">
      <w:pPr>
        <w:pageBreakBefore w:val="0"/>
        <w:kinsoku/>
        <w:overflowPunct/>
        <w:topLinePunct w:val="0"/>
        <w:bidi w:val="0"/>
        <w:spacing w:line="360" w:lineRule="auto"/>
        <w:ind w:left="0" w:leftChars="0" w:right="0" w:rightChars="0" w:firstLine="960" w:firstLineChars="4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甲方（采购人）：</w:t>
      </w:r>
      <w:r>
        <w:rPr>
          <w:rFonts w:hint="eastAsia" w:asciiTheme="minorEastAsia" w:hAnsiTheme="minorEastAsia" w:eastAsiaTheme="minorEastAsia" w:cstheme="minorEastAsia"/>
          <w:color w:val="auto"/>
          <w:sz w:val="24"/>
          <w:szCs w:val="24"/>
          <w:highlight w:val="none"/>
          <w:u w:val="single"/>
        </w:rPr>
        <w:t xml:space="preserve">                              </w:t>
      </w:r>
    </w:p>
    <w:p w14:paraId="6F82C3D3">
      <w:pPr>
        <w:pageBreakBefore w:val="0"/>
        <w:kinsoku/>
        <w:overflowPunct/>
        <w:topLinePunct w:val="0"/>
        <w:bidi w:val="0"/>
        <w:spacing w:line="360" w:lineRule="auto"/>
        <w:ind w:left="0" w:leftChars="0" w:right="0" w:rightChars="0" w:firstLine="960" w:firstLineChars="4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乙方（中标人）：</w:t>
      </w:r>
      <w:r>
        <w:rPr>
          <w:rFonts w:hint="eastAsia" w:asciiTheme="minorEastAsia" w:hAnsiTheme="minorEastAsia" w:eastAsiaTheme="minorEastAsia" w:cstheme="minorEastAsia"/>
          <w:color w:val="auto"/>
          <w:sz w:val="24"/>
          <w:szCs w:val="24"/>
          <w:highlight w:val="none"/>
          <w:u w:val="single"/>
        </w:rPr>
        <w:t xml:space="preserve">                              </w:t>
      </w:r>
    </w:p>
    <w:p w14:paraId="26A4CD37">
      <w:pPr>
        <w:pageBreakBefore w:val="0"/>
        <w:kinsoku/>
        <w:overflowPunct/>
        <w:topLinePunct w:val="0"/>
        <w:bidi w:val="0"/>
        <w:spacing w:line="360" w:lineRule="auto"/>
        <w:ind w:left="0" w:leftChars="0" w:right="0" w:rightChars="0" w:firstLine="960" w:firstLineChars="4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签订地：</w:t>
      </w:r>
      <w:r>
        <w:rPr>
          <w:rFonts w:hint="eastAsia" w:asciiTheme="minorEastAsia" w:hAnsiTheme="minorEastAsia" w:eastAsiaTheme="minorEastAsia" w:cstheme="minorEastAsia"/>
          <w:color w:val="auto"/>
          <w:sz w:val="24"/>
          <w:szCs w:val="24"/>
          <w:highlight w:val="none"/>
          <w:u w:val="single"/>
        </w:rPr>
        <w:t xml:space="preserve">                                     </w:t>
      </w:r>
    </w:p>
    <w:p w14:paraId="20D415B8">
      <w:pPr>
        <w:pageBreakBefore w:val="0"/>
        <w:kinsoku/>
        <w:overflowPunct/>
        <w:topLinePunct w:val="0"/>
        <w:bidi w:val="0"/>
        <w:spacing w:line="360" w:lineRule="auto"/>
        <w:ind w:left="0" w:leftChars="0" w:right="0" w:rightChars="0" w:firstLine="960" w:firstLineChars="4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签订日期：</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6D60F26A">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br w:type="page"/>
      </w:r>
    </w:p>
    <w:p w14:paraId="4C9F634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lang w:val="zh-CN"/>
        </w:rPr>
        <w:t>以下简称：甲方</w:t>
      </w:r>
      <w:r>
        <w:rPr>
          <w:rFonts w:hint="eastAsia" w:asciiTheme="minorEastAsia" w:hAnsiTheme="minorEastAsia" w:eastAsiaTheme="minorEastAsia" w:cstheme="minorEastAsia"/>
          <w:color w:val="auto"/>
          <w:sz w:val="24"/>
          <w:highlight w:val="none"/>
        </w:rPr>
        <w:t>）通过</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组织的</w:t>
      </w:r>
      <w:r>
        <w:rPr>
          <w:rFonts w:hint="eastAsia" w:asciiTheme="minorEastAsia" w:hAnsiTheme="minorEastAsia" w:eastAsiaTheme="minorEastAsia" w:cstheme="minorEastAsia"/>
          <w:color w:val="auto"/>
          <w:sz w:val="24"/>
          <w:highlight w:val="none"/>
          <w:u w:val="single"/>
        </w:rPr>
        <w:t>公开招标</w:t>
      </w:r>
      <w:r>
        <w:rPr>
          <w:rFonts w:hint="eastAsia" w:asciiTheme="minorEastAsia" w:hAnsiTheme="minorEastAsia" w:eastAsiaTheme="minorEastAsia" w:cstheme="minorEastAsia"/>
          <w:color w:val="auto"/>
          <w:sz w:val="24"/>
          <w:highlight w:val="none"/>
        </w:rPr>
        <w:t>方式采购活动，经</w:t>
      </w:r>
      <w:r>
        <w:rPr>
          <w:rFonts w:hint="eastAsia" w:asciiTheme="minorEastAsia" w:hAnsiTheme="minorEastAsia" w:eastAsiaTheme="minorEastAsia" w:cstheme="minorEastAsia"/>
          <w:color w:val="auto"/>
          <w:sz w:val="24"/>
          <w:highlight w:val="none"/>
          <w:u w:val="single"/>
        </w:rPr>
        <w:t>评标委员会</w:t>
      </w:r>
      <w:r>
        <w:rPr>
          <w:rFonts w:hint="eastAsia" w:asciiTheme="minorEastAsia" w:hAnsiTheme="minorEastAsia" w:eastAsiaTheme="minorEastAsia" w:cstheme="minorEastAsia"/>
          <w:color w:val="auto"/>
          <w:sz w:val="24"/>
          <w:highlight w:val="none"/>
        </w:rPr>
        <w:t>评定，</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lang w:val="zh-CN"/>
        </w:rPr>
        <w:t>以下简称：乙方</w:t>
      </w:r>
      <w:r>
        <w:rPr>
          <w:rFonts w:hint="eastAsia" w:asciiTheme="minorEastAsia" w:hAnsiTheme="minorEastAsia" w:eastAsiaTheme="minorEastAsia" w:cstheme="minorEastAsia"/>
          <w:color w:val="auto"/>
          <w:sz w:val="24"/>
          <w:highlight w:val="none"/>
        </w:rPr>
        <w:t>）为本项目中标人，现</w:t>
      </w:r>
      <w:r>
        <w:rPr>
          <w:rFonts w:hint="eastAsia" w:asciiTheme="minorEastAsia" w:hAnsiTheme="minorEastAsia" w:eastAsiaTheme="minorEastAsia" w:cstheme="minorEastAsia"/>
          <w:color w:val="auto"/>
          <w:sz w:val="24"/>
          <w:szCs w:val="24"/>
          <w:highlight w:val="none"/>
        </w:rPr>
        <w:t>按照采购文件确定的事项签订本合同。</w:t>
      </w:r>
    </w:p>
    <w:p w14:paraId="20A0FEE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4F8E253">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51" w:name="_Toc3029"/>
      <w:bookmarkStart w:id="152" w:name="_Toc2232"/>
      <w:bookmarkStart w:id="153" w:name="_Toc24059"/>
      <w:r>
        <w:rPr>
          <w:rFonts w:hint="eastAsia" w:asciiTheme="minorEastAsia" w:hAnsiTheme="minorEastAsia" w:eastAsiaTheme="minorEastAsia" w:cstheme="minorEastAsia"/>
          <w:b/>
          <w:bCs/>
          <w:color w:val="auto"/>
          <w:sz w:val="24"/>
          <w:szCs w:val="24"/>
          <w:highlight w:val="none"/>
          <w:lang w:val="zh-CN"/>
        </w:rPr>
        <w:t>1.1 合同组成部分</w:t>
      </w:r>
      <w:bookmarkEnd w:id="151"/>
      <w:bookmarkEnd w:id="152"/>
      <w:bookmarkEnd w:id="153"/>
    </w:p>
    <w:p w14:paraId="13C660B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3FBAB5A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1.1.1本合同及其补充合同、变更协议；</w:t>
      </w:r>
    </w:p>
    <w:p w14:paraId="365295B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1.1.2中标通知书；</w:t>
      </w:r>
    </w:p>
    <w:p w14:paraId="317A25D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b w:val="0"/>
          <w:bCs w:val="0"/>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1.1.3投标文件（含澄清或者说明</w:t>
      </w:r>
      <w:r>
        <w:rPr>
          <w:rFonts w:hint="eastAsia" w:asciiTheme="minorEastAsia" w:hAnsiTheme="minorEastAsia" w:eastAsiaTheme="minorEastAsia" w:cstheme="minorEastAsia"/>
          <w:b w:val="0"/>
          <w:bCs w:val="0"/>
          <w:color w:val="auto"/>
          <w:sz w:val="24"/>
          <w:szCs w:val="24"/>
          <w:highlight w:val="none"/>
          <w:lang w:val="zh-CN"/>
        </w:rPr>
        <w:t>文件</w:t>
      </w:r>
      <w:r>
        <w:rPr>
          <w:rFonts w:hint="eastAsia" w:ascii="宋体" w:hAnsi="宋体" w:eastAsia="宋体" w:cs="宋体"/>
          <w:b w:val="0"/>
          <w:bCs w:val="0"/>
          <w:color w:val="auto"/>
          <w:sz w:val="24"/>
          <w:highlight w:val="none"/>
          <w:lang w:val="zh-CN"/>
        </w:rPr>
        <w:t>，</w:t>
      </w:r>
      <w:r>
        <w:rPr>
          <w:rFonts w:hint="eastAsia" w:ascii="宋体" w:hAnsi="宋体" w:eastAsia="宋体" w:cs="宋体"/>
          <w:b/>
          <w:bCs/>
          <w:color w:val="auto"/>
          <w:sz w:val="24"/>
          <w:highlight w:val="none"/>
          <w:lang w:val="en-US" w:eastAsia="zh-CN"/>
        </w:rPr>
        <w:t>作为合同附件附后</w:t>
      </w:r>
      <w:r>
        <w:rPr>
          <w:rFonts w:hint="eastAsia" w:asciiTheme="minorEastAsia" w:hAnsiTheme="minorEastAsia" w:eastAsiaTheme="minorEastAsia" w:cstheme="minorEastAsia"/>
          <w:b w:val="0"/>
          <w:bCs w:val="0"/>
          <w:color w:val="auto"/>
          <w:sz w:val="24"/>
          <w:szCs w:val="24"/>
          <w:highlight w:val="none"/>
          <w:lang w:val="zh-CN"/>
        </w:rPr>
        <w:t>）；</w:t>
      </w:r>
    </w:p>
    <w:p w14:paraId="29D366F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b w:val="0"/>
          <w:bCs w:val="0"/>
          <w:color w:val="auto"/>
          <w:sz w:val="24"/>
          <w:szCs w:val="24"/>
          <w:highlight w:val="none"/>
          <w:lang w:val="zh-CN"/>
        </w:rPr>
      </w:pPr>
      <w:r>
        <w:rPr>
          <w:rFonts w:hint="eastAsia" w:asciiTheme="minorEastAsia" w:hAnsiTheme="minorEastAsia" w:eastAsiaTheme="minorEastAsia" w:cstheme="minorEastAsia"/>
          <w:b w:val="0"/>
          <w:bCs w:val="0"/>
          <w:color w:val="auto"/>
          <w:sz w:val="24"/>
          <w:szCs w:val="24"/>
          <w:highlight w:val="none"/>
          <w:lang w:val="zh-CN"/>
        </w:rPr>
        <w:t>1.1.4招标文件（含澄清或者修改文件</w:t>
      </w:r>
      <w:r>
        <w:rPr>
          <w:rFonts w:hint="eastAsia" w:ascii="宋体" w:hAnsi="宋体" w:eastAsia="宋体" w:cs="宋体"/>
          <w:b w:val="0"/>
          <w:bCs w:val="0"/>
          <w:color w:val="auto"/>
          <w:sz w:val="24"/>
          <w:highlight w:val="none"/>
          <w:lang w:val="zh-CN"/>
        </w:rPr>
        <w:t>，</w:t>
      </w:r>
      <w:r>
        <w:rPr>
          <w:rFonts w:hint="eastAsia" w:ascii="宋体" w:hAnsi="宋体" w:eastAsia="宋体" w:cs="宋体"/>
          <w:b/>
          <w:bCs/>
          <w:color w:val="auto"/>
          <w:sz w:val="24"/>
          <w:highlight w:val="none"/>
          <w:lang w:val="en-US" w:eastAsia="zh-CN"/>
        </w:rPr>
        <w:t>作为合同附件附后</w:t>
      </w:r>
      <w:r>
        <w:rPr>
          <w:rFonts w:hint="eastAsia" w:asciiTheme="minorEastAsia" w:hAnsiTheme="minorEastAsia" w:eastAsiaTheme="minorEastAsia" w:cstheme="minorEastAsia"/>
          <w:b w:val="0"/>
          <w:bCs w:val="0"/>
          <w:color w:val="auto"/>
          <w:sz w:val="24"/>
          <w:szCs w:val="24"/>
          <w:highlight w:val="none"/>
          <w:lang w:val="zh-CN"/>
        </w:rPr>
        <w:t>）；</w:t>
      </w:r>
    </w:p>
    <w:p w14:paraId="5756AD5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1.1.5其他相关采购文件。</w:t>
      </w:r>
    </w:p>
    <w:p w14:paraId="52B4EE85">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54" w:name="_Toc6773"/>
      <w:bookmarkStart w:id="155" w:name="_Toc18585"/>
      <w:bookmarkStart w:id="156" w:name="_Toc6311"/>
      <w:bookmarkStart w:id="157" w:name="_Toc2918"/>
      <w:bookmarkStart w:id="158" w:name="_Toc22185"/>
      <w:r>
        <w:rPr>
          <w:rFonts w:hint="eastAsia" w:asciiTheme="minorEastAsia" w:hAnsiTheme="minorEastAsia" w:eastAsiaTheme="minorEastAsia" w:cstheme="minorEastAsia"/>
          <w:b/>
          <w:bCs/>
          <w:color w:val="auto"/>
          <w:sz w:val="24"/>
          <w:szCs w:val="24"/>
          <w:highlight w:val="none"/>
          <w:lang w:val="zh-CN"/>
        </w:rPr>
        <w:t xml:space="preserve">1.2 </w:t>
      </w:r>
      <w:bookmarkEnd w:id="154"/>
      <w:bookmarkEnd w:id="155"/>
      <w:bookmarkEnd w:id="156"/>
      <w:bookmarkEnd w:id="157"/>
      <w:bookmarkEnd w:id="158"/>
      <w:r>
        <w:rPr>
          <w:rFonts w:hint="eastAsia" w:asciiTheme="minorEastAsia" w:hAnsiTheme="minorEastAsia" w:eastAsiaTheme="minorEastAsia" w:cstheme="minorEastAsia"/>
          <w:b/>
          <w:bCs/>
          <w:color w:val="auto"/>
          <w:sz w:val="24"/>
          <w:szCs w:val="24"/>
          <w:highlight w:val="none"/>
          <w:lang w:val="zh-CN"/>
        </w:rPr>
        <w:t>服务</w:t>
      </w:r>
    </w:p>
    <w:p w14:paraId="74C0493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1.2.1服务名称：</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7573C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1.2.2服务内容：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97D091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1.2.3服务质量：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1B368F0A">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59" w:name="_Toc21631"/>
      <w:bookmarkStart w:id="160" w:name="_Toc23292"/>
      <w:bookmarkStart w:id="161" w:name="_Toc21551"/>
      <w:r>
        <w:rPr>
          <w:rFonts w:hint="eastAsia" w:asciiTheme="minorEastAsia" w:hAnsiTheme="minorEastAsia" w:eastAsiaTheme="minorEastAsia" w:cstheme="minorEastAsia"/>
          <w:b/>
          <w:bCs/>
          <w:color w:val="auto"/>
          <w:sz w:val="24"/>
          <w:szCs w:val="24"/>
          <w:highlight w:val="none"/>
          <w:lang w:val="zh-CN"/>
        </w:rPr>
        <w:t>1.3 价款</w:t>
      </w:r>
      <w:bookmarkEnd w:id="159"/>
      <w:bookmarkEnd w:id="160"/>
      <w:bookmarkEnd w:id="161"/>
    </w:p>
    <w:p w14:paraId="3DD391B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本合同总价为：￥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元（大写：人民币</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元）。</w:t>
      </w:r>
    </w:p>
    <w:p w14:paraId="4BA9FCA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分项价格：</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
        <w:gridCol w:w="4703"/>
        <w:gridCol w:w="13"/>
        <w:gridCol w:w="3514"/>
        <w:gridCol w:w="13"/>
      </w:tblGrid>
      <w:tr w14:paraId="27CF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69" w:hRule="atLeast"/>
          <w:jc w:val="center"/>
        </w:trPr>
        <w:tc>
          <w:tcPr>
            <w:tcW w:w="561" w:type="pct"/>
            <w:vAlign w:val="center"/>
          </w:tcPr>
          <w:p w14:paraId="157986B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序号</w:t>
            </w:r>
          </w:p>
        </w:tc>
        <w:tc>
          <w:tcPr>
            <w:tcW w:w="2532" w:type="pct"/>
            <w:vAlign w:val="center"/>
          </w:tcPr>
          <w:p w14:paraId="4A14C5F8">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分项名称</w:t>
            </w:r>
          </w:p>
        </w:tc>
        <w:tc>
          <w:tcPr>
            <w:tcW w:w="1899" w:type="pct"/>
            <w:gridSpan w:val="2"/>
            <w:vAlign w:val="center"/>
          </w:tcPr>
          <w:p w14:paraId="790B237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分项价格</w:t>
            </w:r>
          </w:p>
        </w:tc>
      </w:tr>
      <w:tr w14:paraId="19E2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69" w:hRule="atLeast"/>
          <w:jc w:val="center"/>
        </w:trPr>
        <w:tc>
          <w:tcPr>
            <w:tcW w:w="561" w:type="pct"/>
          </w:tcPr>
          <w:p w14:paraId="731E765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1</w:t>
            </w:r>
          </w:p>
        </w:tc>
        <w:tc>
          <w:tcPr>
            <w:tcW w:w="2532" w:type="pct"/>
            <w:vAlign w:val="center"/>
          </w:tcPr>
          <w:p w14:paraId="0A64D8C2">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c>
          <w:tcPr>
            <w:tcW w:w="1899" w:type="pct"/>
            <w:gridSpan w:val="2"/>
            <w:vAlign w:val="center"/>
          </w:tcPr>
          <w:p w14:paraId="1F0A4583">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r>
      <w:tr w14:paraId="3678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69" w:hRule="atLeast"/>
          <w:jc w:val="center"/>
        </w:trPr>
        <w:tc>
          <w:tcPr>
            <w:tcW w:w="561" w:type="pct"/>
          </w:tcPr>
          <w:p w14:paraId="378C830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2</w:t>
            </w:r>
          </w:p>
        </w:tc>
        <w:tc>
          <w:tcPr>
            <w:tcW w:w="2532" w:type="pct"/>
            <w:vAlign w:val="center"/>
          </w:tcPr>
          <w:p w14:paraId="0CE99487">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c>
          <w:tcPr>
            <w:tcW w:w="1899" w:type="pct"/>
            <w:gridSpan w:val="2"/>
            <w:vAlign w:val="center"/>
          </w:tcPr>
          <w:p w14:paraId="38CD1E5A">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r>
      <w:tr w14:paraId="6954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69" w:hRule="atLeast"/>
          <w:jc w:val="center"/>
        </w:trPr>
        <w:tc>
          <w:tcPr>
            <w:tcW w:w="561" w:type="pct"/>
          </w:tcPr>
          <w:p w14:paraId="21B37EB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3</w:t>
            </w:r>
          </w:p>
        </w:tc>
        <w:tc>
          <w:tcPr>
            <w:tcW w:w="2532" w:type="pct"/>
            <w:vAlign w:val="center"/>
          </w:tcPr>
          <w:p w14:paraId="1CA9C50C">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c>
          <w:tcPr>
            <w:tcW w:w="1899" w:type="pct"/>
            <w:gridSpan w:val="2"/>
            <w:vAlign w:val="center"/>
          </w:tcPr>
          <w:p w14:paraId="7B485934">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r>
      <w:tr w14:paraId="3BC9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pct"/>
          <w:trHeight w:val="369" w:hRule="atLeast"/>
          <w:jc w:val="center"/>
        </w:trPr>
        <w:tc>
          <w:tcPr>
            <w:tcW w:w="561" w:type="pct"/>
          </w:tcPr>
          <w:p w14:paraId="5F25841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w:t>
            </w:r>
          </w:p>
        </w:tc>
        <w:tc>
          <w:tcPr>
            <w:tcW w:w="2532" w:type="pct"/>
            <w:vAlign w:val="center"/>
          </w:tcPr>
          <w:p w14:paraId="5598A4D0">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c>
          <w:tcPr>
            <w:tcW w:w="1899" w:type="pct"/>
            <w:gridSpan w:val="2"/>
            <w:vAlign w:val="center"/>
          </w:tcPr>
          <w:p w14:paraId="72CF5EC5">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r>
      <w:tr w14:paraId="0586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0" w:type="pct"/>
            <w:gridSpan w:val="3"/>
            <w:vAlign w:val="center"/>
          </w:tcPr>
          <w:p w14:paraId="792E5528">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总价</w:t>
            </w:r>
          </w:p>
        </w:tc>
        <w:tc>
          <w:tcPr>
            <w:tcW w:w="1899" w:type="pct"/>
            <w:gridSpan w:val="2"/>
            <w:vAlign w:val="center"/>
          </w:tcPr>
          <w:p w14:paraId="330B33D2">
            <w:pPr>
              <w:pageBreakBefore w:val="0"/>
              <w:kinsoku/>
              <w:overflowPunct/>
              <w:topLinePunct w:val="0"/>
              <w:bidi w:val="0"/>
              <w:spacing w:line="360" w:lineRule="auto"/>
              <w:ind w:left="0" w:leftChars="0" w:right="0" w:rightChars="0" w:firstLine="200"/>
              <w:jc w:val="center"/>
              <w:textAlignment w:val="auto"/>
              <w:rPr>
                <w:rFonts w:hint="eastAsia" w:asciiTheme="minorEastAsia" w:hAnsiTheme="minorEastAsia" w:eastAsiaTheme="minorEastAsia" w:cstheme="minorEastAsia"/>
                <w:color w:val="auto"/>
                <w:sz w:val="24"/>
                <w:szCs w:val="24"/>
                <w:highlight w:val="none"/>
              </w:rPr>
            </w:pPr>
          </w:p>
        </w:tc>
      </w:tr>
    </w:tbl>
    <w:p w14:paraId="385ED896">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62" w:name="_Toc1814"/>
      <w:bookmarkStart w:id="163" w:name="_Toc10340"/>
      <w:bookmarkStart w:id="164" w:name="_Toc22618"/>
      <w:r>
        <w:rPr>
          <w:rFonts w:hint="eastAsia" w:asciiTheme="minorEastAsia" w:hAnsiTheme="minorEastAsia" w:eastAsiaTheme="minorEastAsia" w:cstheme="minorEastAsia"/>
          <w:b/>
          <w:bCs/>
          <w:color w:val="auto"/>
          <w:sz w:val="24"/>
          <w:szCs w:val="24"/>
          <w:highlight w:val="none"/>
          <w:lang w:val="zh-CN"/>
        </w:rPr>
        <w:t>1.4 付款方式和发票开具方式</w:t>
      </w:r>
      <w:bookmarkEnd w:id="162"/>
      <w:bookmarkEnd w:id="163"/>
      <w:bookmarkEnd w:id="164"/>
    </w:p>
    <w:p w14:paraId="67FB793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1.4.1付款方式：</w:t>
      </w:r>
      <w:r>
        <w:rPr>
          <w:rFonts w:hint="eastAsia" w:asciiTheme="minorEastAsia" w:hAnsiTheme="minorEastAsia" w:eastAsiaTheme="minorEastAsia" w:cstheme="minorEastAsia"/>
          <w:color w:val="auto"/>
          <w:sz w:val="24"/>
          <w:szCs w:val="24"/>
          <w:highlight w:val="none"/>
          <w:u w:val="single"/>
        </w:rPr>
        <w:t>1.物业服务收费遵循合理、公开以及费用与服务水平相适应的原则。本物业服务区域的物业服务收费采用包干制的方式。即按照采购文件中物业服务费具体收费标准*投标人中标费率。预交物业费不超过半年（可以半年收一次）。</w:t>
      </w:r>
    </w:p>
    <w:p w14:paraId="2998529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single"/>
        </w:rPr>
        <w:t>2.物业服务费用由小区业主按</w:t>
      </w:r>
      <w:r>
        <w:rPr>
          <w:rFonts w:hint="eastAsia" w:asciiTheme="minorEastAsia" w:hAnsiTheme="minorEastAsia" w:eastAsiaTheme="minorEastAsia" w:cstheme="minorEastAsia"/>
          <w:b/>
          <w:bCs/>
          <w:color w:val="auto"/>
          <w:sz w:val="24"/>
          <w:szCs w:val="24"/>
          <w:highlight w:val="none"/>
          <w:u w:val="single"/>
        </w:rPr>
        <w:t>各自房产证面积</w:t>
      </w:r>
      <w:r>
        <w:rPr>
          <w:rFonts w:hint="eastAsia" w:asciiTheme="minorEastAsia" w:hAnsiTheme="minorEastAsia" w:eastAsiaTheme="minorEastAsia" w:cstheme="minorEastAsia"/>
          <w:color w:val="auto"/>
          <w:sz w:val="24"/>
          <w:szCs w:val="24"/>
          <w:highlight w:val="none"/>
          <w:u w:val="single"/>
        </w:rPr>
        <w:t>支付。中标人包干收取及使用，中标人享有盈余的权益及承担亏损的责任，中标人不得以亏损、服务优化提升等任何理由为由要求增加费用、降低服务标准或减少服务项目</w:t>
      </w:r>
      <w:r>
        <w:rPr>
          <w:rFonts w:hint="eastAsia" w:asciiTheme="minorEastAsia" w:hAnsiTheme="minorEastAsia" w:eastAsiaTheme="minorEastAsia" w:cstheme="minorEastAsia"/>
          <w:color w:val="auto"/>
          <w:sz w:val="24"/>
          <w:szCs w:val="24"/>
          <w:highlight w:val="none"/>
        </w:rPr>
        <w:t>；</w:t>
      </w:r>
    </w:p>
    <w:p w14:paraId="24753CB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1.4.2发票开具方式：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2583D7B5">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65" w:name="_Toc2846"/>
      <w:bookmarkStart w:id="166" w:name="_Toc32071"/>
      <w:bookmarkStart w:id="167" w:name="_Toc19304"/>
      <w:r>
        <w:rPr>
          <w:rFonts w:hint="eastAsia" w:asciiTheme="minorEastAsia" w:hAnsiTheme="minorEastAsia" w:eastAsiaTheme="minorEastAsia" w:cstheme="minorEastAsia"/>
          <w:b/>
          <w:bCs/>
          <w:color w:val="auto"/>
          <w:sz w:val="24"/>
          <w:szCs w:val="24"/>
          <w:highlight w:val="none"/>
          <w:lang w:val="zh-CN"/>
        </w:rPr>
        <w:t>1.5 服务期限、地点和方式</w:t>
      </w:r>
      <w:bookmarkEnd w:id="165"/>
      <w:bookmarkEnd w:id="166"/>
      <w:bookmarkEnd w:id="167"/>
    </w:p>
    <w:p w14:paraId="3604886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1.5.1服务期限：</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0022AE6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1.5.2服务地点：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641A1F7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1.5.3服务方式：</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w:t>
      </w:r>
    </w:p>
    <w:p w14:paraId="2758E5FD">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68" w:name="_Toc19554"/>
      <w:bookmarkStart w:id="169" w:name="_Toc21423"/>
      <w:bookmarkStart w:id="170" w:name="_Toc27250"/>
      <w:r>
        <w:rPr>
          <w:rFonts w:hint="eastAsia" w:asciiTheme="minorEastAsia" w:hAnsiTheme="minorEastAsia" w:eastAsiaTheme="minorEastAsia" w:cstheme="minorEastAsia"/>
          <w:b/>
          <w:bCs/>
          <w:color w:val="auto"/>
          <w:sz w:val="24"/>
          <w:szCs w:val="24"/>
          <w:highlight w:val="none"/>
          <w:lang w:val="zh-CN"/>
        </w:rPr>
        <w:t>1.6 违约责任</w:t>
      </w:r>
      <w:bookmarkEnd w:id="168"/>
      <w:bookmarkEnd w:id="169"/>
      <w:bookmarkEnd w:id="170"/>
    </w:p>
    <w:p w14:paraId="6EA65825">
      <w:pPr>
        <w:spacing w:line="360" w:lineRule="auto"/>
        <w:ind w:firstLine="435"/>
        <w:rPr>
          <w:rFonts w:ascii="宋体" w:hAnsi="宋体" w:eastAsia="宋体" w:cs="宋体"/>
          <w:sz w:val="24"/>
        </w:rPr>
      </w:pPr>
      <w:r>
        <w:rPr>
          <w:rFonts w:hint="eastAsia" w:ascii="宋体" w:hAnsi="宋体" w:eastAsia="宋体" w:cs="宋体"/>
          <w:sz w:val="24"/>
          <w:highlight w:val="none"/>
        </w:rPr>
        <w:t>1.6.1除不可抗力外，如果乙方没有按照本合同约定的期限、地点和方式履行，那么甲方可要求乙方支付违约金，</w:t>
      </w:r>
      <w:r>
        <w:rPr>
          <w:rFonts w:hint="eastAsia" w:ascii="宋体" w:hAnsi="宋体" w:eastAsia="宋体" w:cs="宋体"/>
          <w:sz w:val="24"/>
          <w:highlight w:val="none"/>
          <w:lang w:val="en-US" w:eastAsia="zh-CN"/>
        </w:rPr>
        <w:t>违约金从履约保证金扣除，履约保证金扣完后</w:t>
      </w:r>
      <w:r>
        <w:rPr>
          <w:rFonts w:hint="eastAsia" w:ascii="宋体" w:hAnsi="宋体" w:eastAsia="宋体" w:cs="宋体"/>
          <w:sz w:val="24"/>
          <w:highlight w:val="none"/>
        </w:rPr>
        <w:t>，</w:t>
      </w:r>
      <w:r>
        <w:rPr>
          <w:rFonts w:hint="eastAsia" w:ascii="宋体" w:hAnsi="宋体" w:eastAsia="宋体" w:cs="宋体"/>
          <w:sz w:val="24"/>
          <w:lang w:val="en-US" w:eastAsia="zh-CN"/>
        </w:rPr>
        <w:t>甲方</w:t>
      </w:r>
      <w:r>
        <w:rPr>
          <w:rFonts w:hint="eastAsia" w:ascii="宋体" w:hAnsi="宋体" w:eastAsia="宋体" w:cs="宋体"/>
          <w:sz w:val="24"/>
        </w:rPr>
        <w:t>书面通知乙方解除本合同；</w:t>
      </w:r>
    </w:p>
    <w:p w14:paraId="1BA0467F">
      <w:pPr>
        <w:spacing w:line="360" w:lineRule="auto"/>
        <w:ind w:firstLine="435"/>
        <w:rPr>
          <w:rFonts w:ascii="宋体" w:hAnsi="宋体" w:eastAsia="宋体" w:cs="宋体"/>
          <w:sz w:val="24"/>
        </w:rPr>
      </w:pPr>
      <w:r>
        <w:rPr>
          <w:rFonts w:hint="eastAsia" w:ascii="宋体" w:hAnsi="宋体" w:eastAsia="宋体" w:cs="宋体"/>
          <w:sz w:val="24"/>
        </w:rPr>
        <w:t>1.6.</w:t>
      </w:r>
      <w:r>
        <w:rPr>
          <w:rFonts w:hint="eastAsia" w:ascii="宋体" w:hAnsi="宋体" w:eastAsia="宋体" w:cs="宋体"/>
          <w:sz w:val="24"/>
          <w:lang w:val="en-US" w:eastAsia="zh-CN"/>
        </w:rPr>
        <w:t>2</w:t>
      </w:r>
      <w:r>
        <w:rPr>
          <w:rFonts w:hint="eastAsia" w:ascii="宋体" w:hAnsi="宋体" w:eastAsia="宋体" w:cs="宋体"/>
          <w:sz w:val="24"/>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685EC2C">
      <w:pPr>
        <w:spacing w:line="360" w:lineRule="auto"/>
        <w:ind w:firstLine="435"/>
        <w:rPr>
          <w:rFonts w:ascii="宋体" w:hAnsi="宋体" w:eastAsia="宋体" w:cs="宋体"/>
          <w:sz w:val="24"/>
        </w:rPr>
      </w:pPr>
      <w:r>
        <w:rPr>
          <w:rFonts w:hint="eastAsia" w:ascii="宋体" w:hAnsi="宋体" w:eastAsia="宋体" w:cs="宋体"/>
          <w:sz w:val="24"/>
        </w:rPr>
        <w:t>1.6.</w:t>
      </w:r>
      <w:r>
        <w:rPr>
          <w:rFonts w:hint="eastAsia" w:ascii="宋体" w:hAnsi="宋体" w:eastAsia="宋体" w:cs="宋体"/>
          <w:sz w:val="24"/>
          <w:lang w:val="en-US" w:eastAsia="zh-CN"/>
        </w:rPr>
        <w:t>3</w:t>
      </w:r>
      <w:r>
        <w:rPr>
          <w:rFonts w:hint="eastAsia" w:ascii="宋体" w:hAnsi="宋体" w:eastAsia="宋体" w:cs="宋体"/>
          <w:sz w:val="24"/>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5694DA5">
      <w:pPr>
        <w:spacing w:line="360" w:lineRule="auto"/>
        <w:ind w:firstLine="435"/>
        <w:rPr>
          <w:rFonts w:ascii="宋体" w:hAnsi="宋体" w:eastAsia="宋体" w:cs="宋体"/>
          <w:sz w:val="24"/>
        </w:rPr>
      </w:pPr>
      <w:r>
        <w:rPr>
          <w:rFonts w:hint="eastAsia" w:ascii="宋体" w:hAnsi="宋体" w:eastAsia="宋体" w:cs="宋体"/>
          <w:sz w:val="24"/>
        </w:rPr>
        <w:t>1.6.</w:t>
      </w:r>
      <w:r>
        <w:rPr>
          <w:rFonts w:hint="eastAsia" w:ascii="宋体" w:hAnsi="宋体" w:eastAsia="宋体" w:cs="宋体"/>
          <w:sz w:val="24"/>
          <w:lang w:val="en-US" w:eastAsia="zh-CN"/>
        </w:rPr>
        <w:t>4</w:t>
      </w:r>
      <w:r>
        <w:rPr>
          <w:rFonts w:hint="eastAsia" w:ascii="宋体" w:hAnsi="宋体" w:eastAsia="宋体" w:cs="宋体"/>
          <w:sz w:val="24"/>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8CAB9FA">
      <w:pPr>
        <w:spacing w:line="360" w:lineRule="auto"/>
        <w:ind w:firstLine="435"/>
        <w:rPr>
          <w:rFonts w:ascii="宋体" w:hAnsi="宋体" w:eastAsia="宋体" w:cs="宋体"/>
          <w:sz w:val="24"/>
        </w:rPr>
      </w:pPr>
      <w:r>
        <w:rPr>
          <w:rFonts w:hint="eastAsia" w:ascii="宋体" w:hAnsi="宋体" w:eastAsia="宋体" w:cs="宋体"/>
          <w:sz w:val="24"/>
        </w:rPr>
        <w:t>1.6.</w:t>
      </w:r>
      <w:r>
        <w:rPr>
          <w:rFonts w:hint="eastAsia" w:ascii="宋体" w:hAnsi="宋体" w:eastAsia="宋体" w:cs="宋体"/>
          <w:sz w:val="24"/>
          <w:lang w:val="en-US" w:eastAsia="zh-CN"/>
        </w:rPr>
        <w:t>5</w:t>
      </w:r>
      <w:r>
        <w:rPr>
          <w:rFonts w:hint="eastAsia" w:ascii="宋体" w:hAnsi="宋体" w:eastAsia="宋体" w:cs="宋体"/>
          <w:sz w:val="24"/>
        </w:rPr>
        <w:t>如果出现采购监督管理部门在处理投诉事项期间，书面通知甲方暂停采购活动的情形，或者询问或质疑事项可能影响成交结果的，导致甲方中止履行合同的情形，均不视为甲方违约。</w:t>
      </w:r>
    </w:p>
    <w:p w14:paraId="089A323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宋体" w:hAnsi="宋体" w:eastAsia="宋体" w:cs="宋体"/>
          <w:sz w:val="24"/>
        </w:rPr>
        <w:t>1.6.</w:t>
      </w:r>
      <w:r>
        <w:rPr>
          <w:rFonts w:hint="eastAsia" w:ascii="宋体" w:hAnsi="宋体" w:eastAsia="宋体" w:cs="宋体"/>
          <w:sz w:val="24"/>
          <w:lang w:val="en-US" w:eastAsia="zh-CN"/>
        </w:rPr>
        <w:t>6</w:t>
      </w:r>
      <w:r>
        <w:rPr>
          <w:rFonts w:hint="eastAsia" w:ascii="宋体" w:hAnsi="宋体" w:eastAsia="宋体" w:cs="宋体"/>
          <w:sz w:val="24"/>
        </w:rPr>
        <w:t>因甲方未按合同约定支付价款、未按合同约定受领标的物、擅自解除合同</w:t>
      </w:r>
      <w:r>
        <w:rPr>
          <w:rFonts w:hint="eastAsia" w:ascii="宋体" w:hAnsi="宋体" w:eastAsia="宋体" w:cs="宋体"/>
          <w:sz w:val="24"/>
          <w:szCs w:val="24"/>
        </w:rPr>
        <w:t>、逾期退还履约保证金</w:t>
      </w:r>
      <w:r>
        <w:rPr>
          <w:rFonts w:hint="eastAsia" w:ascii="宋体" w:hAnsi="宋体" w:eastAsia="宋体" w:cs="宋体"/>
          <w:sz w:val="24"/>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7E57BB0D">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71" w:name="_Toc28375"/>
      <w:bookmarkStart w:id="172" w:name="_Toc15583"/>
      <w:bookmarkStart w:id="173" w:name="_Toc16021"/>
      <w:r>
        <w:rPr>
          <w:rFonts w:hint="eastAsia" w:asciiTheme="minorEastAsia" w:hAnsiTheme="minorEastAsia" w:eastAsiaTheme="minorEastAsia" w:cstheme="minorEastAsia"/>
          <w:b/>
          <w:bCs/>
          <w:color w:val="auto"/>
          <w:sz w:val="24"/>
          <w:szCs w:val="24"/>
          <w:highlight w:val="none"/>
          <w:lang w:val="zh-CN"/>
        </w:rPr>
        <w:t>1.7 合同争议的解决</w:t>
      </w:r>
      <w:bookmarkEnd w:id="171"/>
      <w:bookmarkEnd w:id="172"/>
      <w:bookmarkEnd w:id="173"/>
    </w:p>
    <w:p w14:paraId="65E952D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本合同履行过程中发生的任何争议，双方当事人均可通过和解或者调解解决；不愿和解、调解或者和解、调解不成的，可以选择下列第</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种方式解决：</w:t>
      </w:r>
    </w:p>
    <w:p w14:paraId="7A6FE5C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1.7.1将争议提交</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仲裁委员会依申请仲裁时其现行有效的仲裁规则裁决；</w:t>
      </w:r>
    </w:p>
    <w:p w14:paraId="194D09E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1.7.2向</w:t>
      </w:r>
      <w:r>
        <w:rPr>
          <w:rFonts w:hint="eastAsia" w:asciiTheme="minorEastAsia" w:hAnsiTheme="minorEastAsia" w:eastAsiaTheme="minorEastAsia" w:cstheme="minorEastAsia"/>
          <w:color w:val="auto"/>
          <w:sz w:val="24"/>
          <w:szCs w:val="24"/>
          <w:highlight w:val="none"/>
          <w:u w:val="single"/>
          <w:lang w:val="en-US" w:eastAsia="zh-CN"/>
        </w:rPr>
        <w:t>阜阳地区的</w:t>
      </w:r>
      <w:r>
        <w:rPr>
          <w:rFonts w:hint="eastAsia" w:asciiTheme="minorEastAsia" w:hAnsiTheme="minorEastAsia" w:eastAsiaTheme="minorEastAsia" w:cstheme="minorEastAsia"/>
          <w:color w:val="auto"/>
          <w:sz w:val="24"/>
          <w:szCs w:val="24"/>
          <w:highlight w:val="none"/>
        </w:rPr>
        <w:t>人民法院起诉。</w:t>
      </w:r>
    </w:p>
    <w:p w14:paraId="2CB723D6">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74" w:name="_Toc11173"/>
      <w:bookmarkStart w:id="175" w:name="_Toc15322"/>
      <w:bookmarkStart w:id="176" w:name="_Toc7245"/>
      <w:r>
        <w:rPr>
          <w:rFonts w:hint="eastAsia" w:asciiTheme="minorEastAsia" w:hAnsiTheme="minorEastAsia" w:eastAsiaTheme="minorEastAsia" w:cstheme="minorEastAsia"/>
          <w:b/>
          <w:bCs/>
          <w:color w:val="auto"/>
          <w:sz w:val="24"/>
          <w:szCs w:val="24"/>
          <w:highlight w:val="none"/>
          <w:lang w:val="zh-CN"/>
        </w:rPr>
        <w:t>1.8 合同生效</w:t>
      </w:r>
      <w:bookmarkEnd w:id="174"/>
      <w:bookmarkEnd w:id="175"/>
      <w:bookmarkEnd w:id="176"/>
    </w:p>
    <w:p w14:paraId="37E3A40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本合同自双方当事人盖章时生效。</w:t>
      </w:r>
    </w:p>
    <w:p w14:paraId="6ABF98AF">
      <w:pPr>
        <w:pageBreakBefore w:val="0"/>
        <w:kinsoku/>
        <w:overflowPunct/>
        <w:topLinePunct w:val="0"/>
        <w:autoSpaceDE w:val="0"/>
        <w:autoSpaceDN w:val="0"/>
        <w:bidi w:val="0"/>
        <w:adjustRightIn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lang w:val="zh-CN"/>
        </w:rPr>
      </w:pPr>
    </w:p>
    <w:p w14:paraId="52F2B255">
      <w:pPr>
        <w:pageBreakBefore w:val="0"/>
        <w:kinsoku/>
        <w:overflowPunct/>
        <w:topLinePunct w:val="0"/>
        <w:autoSpaceDE w:val="0"/>
        <w:autoSpaceDN w:val="0"/>
        <w:bidi w:val="0"/>
        <w:adjustRightIn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lang w:val="zh-CN"/>
        </w:rPr>
      </w:pPr>
    </w:p>
    <w:p w14:paraId="06DE4EE5">
      <w:pPr>
        <w:pageBreakBefore w:val="0"/>
        <w:kinsoku/>
        <w:overflowPunct/>
        <w:topLinePunct w:val="0"/>
        <w:autoSpaceDE w:val="0"/>
        <w:autoSpaceDN w:val="0"/>
        <w:bidi w:val="0"/>
        <w:adjustRightIn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lang w:val="zh-CN"/>
        </w:rPr>
      </w:pPr>
    </w:p>
    <w:p w14:paraId="0E42B508">
      <w:pPr>
        <w:pageBreakBefore w:val="0"/>
        <w:kinsoku/>
        <w:overflowPunct/>
        <w:topLinePunct w:val="0"/>
        <w:autoSpaceDE w:val="0"/>
        <w:autoSpaceDN w:val="0"/>
        <w:bidi w:val="0"/>
        <w:adjustRightInd w:val="0"/>
        <w:spacing w:line="360" w:lineRule="auto"/>
        <w:ind w:left="0" w:leftChars="0" w:right="0" w:rightChars="0"/>
        <w:textAlignment w:val="auto"/>
        <w:rPr>
          <w:rFonts w:hint="eastAsia" w:asciiTheme="minorEastAsia" w:hAnsiTheme="minorEastAsia" w:eastAsiaTheme="minorEastAsia" w:cstheme="minorEastAsia"/>
          <w:bCs/>
          <w:color w:val="auto"/>
          <w:sz w:val="24"/>
          <w:szCs w:val="24"/>
          <w:highlight w:val="none"/>
          <w:lang w:val="zh-CN"/>
        </w:rPr>
      </w:pPr>
      <w:r>
        <w:rPr>
          <w:rFonts w:hint="eastAsia" w:asciiTheme="minorEastAsia" w:hAnsiTheme="minorEastAsia" w:eastAsiaTheme="minorEastAsia" w:cstheme="minorEastAsia"/>
          <w:bCs/>
          <w:color w:val="auto"/>
          <w:sz w:val="24"/>
          <w:szCs w:val="24"/>
          <w:highlight w:val="none"/>
          <w:lang w:val="zh-CN"/>
        </w:rPr>
        <w:t>甲    方：</w:t>
      </w:r>
      <w:r>
        <w:rPr>
          <w:rFonts w:hint="eastAsia" w:asciiTheme="minorEastAsia" w:hAnsiTheme="minorEastAsia" w:eastAsiaTheme="minorEastAsia" w:cstheme="minorEastAsia"/>
          <w:bCs/>
          <w:color w:val="auto"/>
          <w:sz w:val="24"/>
          <w:szCs w:val="24"/>
          <w:highlight w:val="none"/>
          <w:u w:val="single"/>
          <w:lang w:val="zh-CN"/>
        </w:rPr>
        <w:t xml:space="preserve">    （单位盖章）     </w:t>
      </w:r>
      <w:r>
        <w:rPr>
          <w:rFonts w:hint="eastAsia" w:asciiTheme="minorEastAsia" w:hAnsiTheme="minorEastAsia" w:eastAsiaTheme="minorEastAsia" w:cstheme="minorEastAsia"/>
          <w:bCs/>
          <w:color w:val="auto"/>
          <w:sz w:val="24"/>
          <w:szCs w:val="24"/>
          <w:highlight w:val="none"/>
          <w:lang w:val="zh-CN"/>
        </w:rPr>
        <w:t xml:space="preserve">          乙方：</w:t>
      </w:r>
      <w:r>
        <w:rPr>
          <w:rFonts w:hint="eastAsia" w:asciiTheme="minorEastAsia" w:hAnsiTheme="minorEastAsia" w:eastAsiaTheme="minorEastAsia" w:cstheme="minorEastAsia"/>
          <w:bCs/>
          <w:color w:val="auto"/>
          <w:sz w:val="24"/>
          <w:szCs w:val="24"/>
          <w:highlight w:val="none"/>
          <w:u w:val="single"/>
          <w:lang w:val="zh-CN"/>
        </w:rPr>
        <w:t xml:space="preserve">    （单位盖章）     </w:t>
      </w:r>
    </w:p>
    <w:p w14:paraId="3FCEF036">
      <w:pPr>
        <w:pageBreakBefore w:val="0"/>
        <w:kinsoku/>
        <w:overflowPunct/>
        <w:topLinePunct w:val="0"/>
        <w:autoSpaceDE w:val="0"/>
        <w:autoSpaceDN w:val="0"/>
        <w:bidi w:val="0"/>
        <w:adjustRightIn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法定代表人                               法定代表人</w:t>
      </w:r>
    </w:p>
    <w:p w14:paraId="314E9BF1">
      <w:pPr>
        <w:pageBreakBefore w:val="0"/>
        <w:kinsoku/>
        <w:overflowPunct/>
        <w:topLinePunct w:val="0"/>
        <w:autoSpaceDE w:val="0"/>
        <w:autoSpaceDN w:val="0"/>
        <w:bidi w:val="0"/>
        <w:adjustRightIn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或授权代表（签字）：                      或授权代表（签字）：</w:t>
      </w:r>
    </w:p>
    <w:p w14:paraId="17B0D565">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bCs/>
          <w:color w:val="auto"/>
          <w:sz w:val="24"/>
          <w:szCs w:val="24"/>
          <w:highlight w:val="none"/>
        </w:rPr>
      </w:pPr>
      <w:bookmarkStart w:id="177" w:name="_Toc331685783"/>
      <w:r>
        <w:rPr>
          <w:rFonts w:hint="eastAsia" w:asciiTheme="minorEastAsia" w:hAnsiTheme="minorEastAsia" w:eastAsiaTheme="minorEastAsia" w:cstheme="minorEastAsia"/>
          <w:bCs/>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日               时间：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月</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日</w:t>
      </w:r>
    </w:p>
    <w:p w14:paraId="39842515">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bookmarkStart w:id="178" w:name="_Hlk110099149"/>
      <w:r>
        <w:rPr>
          <w:rFonts w:hint="eastAsia" w:asciiTheme="minorEastAsia" w:hAnsiTheme="minorEastAsia" w:eastAsiaTheme="minorEastAsia" w:cstheme="minorEastAsia"/>
          <w:color w:val="auto"/>
          <w:sz w:val="24"/>
          <w:szCs w:val="24"/>
          <w:highlight w:val="none"/>
        </w:rPr>
        <w:t>乙方账户信息</w:t>
      </w:r>
    </w:p>
    <w:p w14:paraId="27E299BC">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户名：</w:t>
      </w:r>
      <w:r>
        <w:rPr>
          <w:rFonts w:hint="eastAsia" w:asciiTheme="minorEastAsia" w:hAnsiTheme="minorEastAsia" w:eastAsiaTheme="minorEastAsia" w:cstheme="minorEastAsia"/>
          <w:color w:val="auto"/>
          <w:sz w:val="24"/>
          <w:szCs w:val="24"/>
          <w:highlight w:val="none"/>
          <w:u w:val="single"/>
        </w:rPr>
        <w:t xml:space="preserve">            </w:t>
      </w:r>
    </w:p>
    <w:p w14:paraId="54969968">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账号：</w:t>
      </w:r>
      <w:r>
        <w:rPr>
          <w:rFonts w:hint="eastAsia" w:asciiTheme="minorEastAsia" w:hAnsiTheme="minorEastAsia" w:eastAsiaTheme="minorEastAsia" w:cstheme="minorEastAsia"/>
          <w:color w:val="auto"/>
          <w:sz w:val="24"/>
          <w:szCs w:val="24"/>
          <w:highlight w:val="none"/>
          <w:u w:val="single"/>
        </w:rPr>
        <w:t xml:space="preserve">            </w:t>
      </w:r>
    </w:p>
    <w:p w14:paraId="11B66772">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开户银行：</w:t>
      </w:r>
      <w:r>
        <w:rPr>
          <w:rFonts w:hint="eastAsia" w:asciiTheme="minorEastAsia" w:hAnsiTheme="minorEastAsia" w:eastAsiaTheme="minorEastAsia" w:cstheme="minorEastAsia"/>
          <w:color w:val="auto"/>
          <w:sz w:val="24"/>
          <w:szCs w:val="24"/>
          <w:highlight w:val="none"/>
          <w:u w:val="single"/>
        </w:rPr>
        <w:t xml:space="preserve">        </w:t>
      </w:r>
    </w:p>
    <w:bookmarkEnd w:id="178"/>
    <w:p w14:paraId="0BA3E858">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br w:type="page"/>
      </w:r>
    </w:p>
    <w:p w14:paraId="25484DD2">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rPr>
      </w:pPr>
      <w:bookmarkStart w:id="179" w:name="_Toc819"/>
      <w:bookmarkStart w:id="180" w:name="_Toc415"/>
      <w:r>
        <w:rPr>
          <w:rFonts w:hint="eastAsia" w:asciiTheme="minorEastAsia" w:hAnsiTheme="minorEastAsia" w:eastAsiaTheme="minorEastAsia" w:cstheme="minorEastAsia"/>
          <w:b/>
          <w:color w:val="auto"/>
          <w:sz w:val="24"/>
          <w:highlight w:val="none"/>
        </w:rPr>
        <w:t>第二部分 合同一般条款</w:t>
      </w:r>
      <w:bookmarkEnd w:id="177"/>
      <w:bookmarkEnd w:id="179"/>
      <w:bookmarkEnd w:id="180"/>
    </w:p>
    <w:p w14:paraId="34F72C63">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181" w:name="_Toc279701240"/>
      <w:bookmarkStart w:id="182" w:name="_Ref467379109"/>
      <w:bookmarkStart w:id="183" w:name="_Toc487900349"/>
      <w:bookmarkStart w:id="184" w:name="_Toc19614"/>
      <w:bookmarkStart w:id="185" w:name="_Ref467379205"/>
      <w:bookmarkStart w:id="186" w:name="_Ref467379101"/>
      <w:bookmarkStart w:id="187" w:name="_Ref467379195"/>
      <w:bookmarkStart w:id="188" w:name="_Ref467378404"/>
      <w:bookmarkStart w:id="189" w:name="_Toc28763"/>
      <w:bookmarkStart w:id="190" w:name="_Ref467379225"/>
      <w:bookmarkStart w:id="191" w:name="_Toc16917"/>
      <w:bookmarkStart w:id="192" w:name="_Ref467378499"/>
      <w:bookmarkStart w:id="193" w:name="_Ref467378463"/>
      <w:bookmarkStart w:id="194" w:name="_Ref467379214"/>
      <w:bookmarkStart w:id="195" w:name="_Toc259093669"/>
      <w:bookmarkStart w:id="196" w:name="_Ref467379094"/>
      <w:r>
        <w:rPr>
          <w:rFonts w:hint="eastAsia" w:asciiTheme="minorEastAsia" w:hAnsiTheme="minorEastAsia" w:eastAsiaTheme="minorEastAsia" w:cstheme="minorEastAsia"/>
          <w:b/>
          <w:bCs/>
          <w:color w:val="auto"/>
          <w:sz w:val="24"/>
          <w:szCs w:val="24"/>
          <w:highlight w:val="none"/>
          <w:lang w:val="zh-CN"/>
        </w:rPr>
        <w:t>2.1 定义</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58D702A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本合同中的下列词语应按以下内容进行解释：</w:t>
      </w:r>
    </w:p>
    <w:p w14:paraId="5051A18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2.1.1“合同”系指采购人和中标人签订的载明双方当事人所达成的协议，并包括所有的附件、附录和构成合同的其他文件。</w:t>
      </w:r>
    </w:p>
    <w:p w14:paraId="0F8FA25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2.1.2“合同价”系指根据合同约定，中标人在完全履行合同义务后，采购人应支付给中标人的价格。</w:t>
      </w:r>
    </w:p>
    <w:p w14:paraId="4159699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2.1.3“服务”系指中标人根据合同约定应向采购人履行的除货物和工程以外的其他采购对象，包括采购人自身需要的服务和向社会公众提供的公共服务。</w:t>
      </w:r>
    </w:p>
    <w:p w14:paraId="43C9815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bookmarkStart w:id="197" w:name="_Ref467378840"/>
      <w:r>
        <w:rPr>
          <w:rFonts w:hint="eastAsia" w:asciiTheme="minorEastAsia" w:hAnsiTheme="minorEastAsia" w:eastAsiaTheme="minorEastAsia" w:cstheme="minorEastAsia"/>
          <w:color w:val="auto"/>
          <w:sz w:val="24"/>
          <w:szCs w:val="24"/>
          <w:highlight w:val="none"/>
        </w:rPr>
        <w:t>2.1.4“甲方”系指与中标人签署合同的采购人</w:t>
      </w:r>
      <w:bookmarkEnd w:id="197"/>
      <w:r>
        <w:rPr>
          <w:rFonts w:hint="eastAsia" w:asciiTheme="minorEastAsia" w:hAnsiTheme="minorEastAsia" w:eastAsiaTheme="minorEastAsia" w:cstheme="minorEastAsia"/>
          <w:color w:val="auto"/>
          <w:sz w:val="24"/>
          <w:szCs w:val="24"/>
          <w:highlight w:val="none"/>
        </w:rPr>
        <w:t>；采购人委托采购代理机构代表其与乙方签订合同的，采购人的授权委托书作为合同附件。</w:t>
      </w:r>
    </w:p>
    <w:p w14:paraId="34AA248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bookmarkStart w:id="198" w:name="_Ref467379400"/>
      <w:r>
        <w:rPr>
          <w:rFonts w:hint="eastAsia" w:asciiTheme="minorEastAsia" w:hAnsiTheme="minorEastAsia" w:eastAsiaTheme="minorEastAsia" w:cstheme="minorEastAsia"/>
          <w:color w:val="auto"/>
          <w:sz w:val="24"/>
          <w:szCs w:val="24"/>
          <w:highlight w:val="none"/>
        </w:rPr>
        <w:t>2.1.5“乙方”系指根据合同约定提供服务的中标人</w:t>
      </w:r>
      <w:bookmarkEnd w:id="198"/>
      <w:r>
        <w:rPr>
          <w:rFonts w:hint="eastAsia" w:asciiTheme="minorEastAsia" w:hAnsiTheme="minorEastAsia" w:eastAsiaTheme="minorEastAsia" w:cstheme="minorEastAsia"/>
          <w:color w:val="auto"/>
          <w:sz w:val="24"/>
          <w:szCs w:val="24"/>
          <w:highlight w:val="none"/>
        </w:rPr>
        <w:t>；两个以上的自然人、法人或者其他组织组成一个联合体，以一个供应商的身份共同参加采购的，联合体各方均应为乙方或者与乙方相同地位的合同当事人，并就合同约定的事项对甲方承担连带责任。</w:t>
      </w:r>
    </w:p>
    <w:p w14:paraId="13A7325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bookmarkStart w:id="199" w:name="_Ref467379436"/>
      <w:r>
        <w:rPr>
          <w:rFonts w:hint="eastAsia" w:asciiTheme="minorEastAsia" w:hAnsiTheme="minorEastAsia" w:eastAsiaTheme="minorEastAsia" w:cstheme="minorEastAsia"/>
          <w:color w:val="auto"/>
          <w:sz w:val="24"/>
          <w:szCs w:val="24"/>
          <w:highlight w:val="none"/>
        </w:rPr>
        <w:t>2.1.6“现场”系指合同约定提供服务的地点。</w:t>
      </w:r>
      <w:bookmarkEnd w:id="199"/>
    </w:p>
    <w:p w14:paraId="2B5B4B71">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00" w:name="_Toc279701241"/>
      <w:bookmarkStart w:id="201" w:name="_Toc259093670"/>
      <w:bookmarkStart w:id="202" w:name="_Toc487900350"/>
      <w:bookmarkStart w:id="203" w:name="_Toc32504"/>
      <w:bookmarkStart w:id="204" w:name="_Toc13336"/>
      <w:bookmarkStart w:id="205" w:name="_Toc27635"/>
      <w:r>
        <w:rPr>
          <w:rFonts w:hint="eastAsia" w:asciiTheme="minorEastAsia" w:hAnsiTheme="minorEastAsia" w:eastAsiaTheme="minorEastAsia" w:cstheme="minorEastAsia"/>
          <w:b/>
          <w:bCs/>
          <w:color w:val="auto"/>
          <w:sz w:val="24"/>
          <w:szCs w:val="24"/>
          <w:highlight w:val="none"/>
          <w:lang w:val="zh-CN"/>
        </w:rPr>
        <w:t>2.2 技术规范</w:t>
      </w:r>
      <w:bookmarkEnd w:id="200"/>
      <w:bookmarkEnd w:id="201"/>
      <w:bookmarkEnd w:id="202"/>
      <w:bookmarkEnd w:id="203"/>
      <w:bookmarkEnd w:id="204"/>
      <w:bookmarkEnd w:id="205"/>
    </w:p>
    <w:p w14:paraId="35A42C8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B93434C">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06" w:name="_Toc9829"/>
      <w:bookmarkStart w:id="207" w:name="_Toc279701242"/>
      <w:bookmarkStart w:id="208" w:name="_Toc259093671"/>
      <w:bookmarkStart w:id="209" w:name="_Toc27853"/>
      <w:bookmarkStart w:id="210" w:name="_Toc31634"/>
      <w:bookmarkStart w:id="211" w:name="_Toc487900351"/>
      <w:r>
        <w:rPr>
          <w:rFonts w:hint="eastAsia" w:asciiTheme="minorEastAsia" w:hAnsiTheme="minorEastAsia" w:eastAsiaTheme="minorEastAsia" w:cstheme="minorEastAsia"/>
          <w:b/>
          <w:bCs/>
          <w:color w:val="auto"/>
          <w:sz w:val="24"/>
          <w:szCs w:val="24"/>
          <w:highlight w:val="none"/>
          <w:lang w:val="zh-CN"/>
        </w:rPr>
        <w:t>2.3 知识产权</w:t>
      </w:r>
      <w:bookmarkEnd w:id="206"/>
      <w:bookmarkEnd w:id="207"/>
      <w:bookmarkEnd w:id="208"/>
      <w:bookmarkEnd w:id="209"/>
      <w:bookmarkEnd w:id="210"/>
      <w:bookmarkEnd w:id="211"/>
    </w:p>
    <w:p w14:paraId="41D8B00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75E7D8F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2.3.2具有知识产权的计算机软件等货物的知识产权归属，详见</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w:t>
      </w:r>
    </w:p>
    <w:p w14:paraId="57B91981">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12" w:name="_Ref467378591"/>
      <w:bookmarkStart w:id="213" w:name="_Ref467379536"/>
      <w:bookmarkStart w:id="214" w:name="_Toc279701245"/>
      <w:bookmarkStart w:id="215" w:name="_Toc259093674"/>
      <w:bookmarkStart w:id="216" w:name="_Ref467378541"/>
      <w:bookmarkStart w:id="217" w:name="_Ref467379542"/>
      <w:bookmarkStart w:id="218" w:name="_Ref467379527"/>
      <w:bookmarkStart w:id="219" w:name="_Toc487900354"/>
      <w:bookmarkStart w:id="220" w:name="_Toc26182"/>
      <w:bookmarkStart w:id="221" w:name="_Toc30272"/>
      <w:bookmarkStart w:id="222" w:name="_Toc19074"/>
      <w:r>
        <w:rPr>
          <w:rFonts w:hint="eastAsia" w:asciiTheme="minorEastAsia" w:hAnsiTheme="minorEastAsia" w:eastAsiaTheme="minorEastAsia" w:cstheme="minorEastAsia"/>
          <w:b/>
          <w:bCs/>
          <w:color w:val="auto"/>
          <w:sz w:val="24"/>
          <w:szCs w:val="24"/>
          <w:highlight w:val="none"/>
          <w:lang w:val="zh-CN"/>
        </w:rPr>
        <w:t>2.</w:t>
      </w:r>
      <w:bookmarkEnd w:id="212"/>
      <w:bookmarkEnd w:id="213"/>
      <w:bookmarkEnd w:id="214"/>
      <w:bookmarkEnd w:id="215"/>
      <w:bookmarkEnd w:id="216"/>
      <w:bookmarkEnd w:id="217"/>
      <w:bookmarkEnd w:id="218"/>
      <w:bookmarkEnd w:id="219"/>
      <w:r>
        <w:rPr>
          <w:rFonts w:hint="eastAsia" w:asciiTheme="minorEastAsia" w:hAnsiTheme="minorEastAsia" w:eastAsiaTheme="minorEastAsia" w:cstheme="minorEastAsia"/>
          <w:b/>
          <w:bCs/>
          <w:color w:val="auto"/>
          <w:sz w:val="24"/>
          <w:szCs w:val="24"/>
          <w:highlight w:val="none"/>
          <w:lang w:val="zh-CN"/>
        </w:rPr>
        <w:t>4 履约检查和问题反馈</w:t>
      </w:r>
      <w:bookmarkEnd w:id="220"/>
      <w:bookmarkEnd w:id="221"/>
      <w:bookmarkEnd w:id="222"/>
    </w:p>
    <w:p w14:paraId="5B3A4BA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bookmarkStart w:id="223" w:name="_Toc186431854"/>
      <w:bookmarkStart w:id="224" w:name="_Toc487900357"/>
      <w:bookmarkStart w:id="225" w:name="_Ref467379793"/>
      <w:bookmarkStart w:id="226" w:name="_Toc279701247"/>
      <w:bookmarkStart w:id="227" w:name="_Toc259093676"/>
      <w:bookmarkStart w:id="228" w:name="_Ref467379807"/>
      <w:r>
        <w:rPr>
          <w:rFonts w:hint="eastAsia" w:asciiTheme="minorEastAsia" w:hAnsiTheme="minorEastAsia" w:eastAsiaTheme="minorEastAsia" w:cstheme="minorEastAsia"/>
          <w:color w:val="auto"/>
          <w:sz w:val="24"/>
          <w:szCs w:val="24"/>
          <w:highlight w:val="none"/>
        </w:rPr>
        <w:t>2.4.1甲方有权在其认为必要时，对乙方是否能够按照合同约定提供服务进行履约检查，以确保乙方所提供的服务能够依约满足甲方项目需求，但不得因履约检查妨碍乙方的正常工作，乙方应予积极配合；</w:t>
      </w:r>
    </w:p>
    <w:p w14:paraId="79901EC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2.4.2合同履行期间，甲方有权将履行过程中出现的问题反馈给乙方，双方当事人应以书面形式约定需要完善和改进的内容</w:t>
      </w:r>
      <w:bookmarkEnd w:id="223"/>
      <w:bookmarkStart w:id="229" w:name="_Toc186431855"/>
      <w:r>
        <w:rPr>
          <w:rFonts w:hint="eastAsia" w:asciiTheme="minorEastAsia" w:hAnsiTheme="minorEastAsia" w:eastAsiaTheme="minorEastAsia" w:cstheme="minorEastAsia"/>
          <w:color w:val="auto"/>
          <w:sz w:val="24"/>
          <w:szCs w:val="24"/>
          <w:highlight w:val="none"/>
        </w:rPr>
        <w:t>。</w:t>
      </w:r>
    </w:p>
    <w:bookmarkEnd w:id="229"/>
    <w:p w14:paraId="7BA0C6ED">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30" w:name="_Toc7836"/>
      <w:bookmarkStart w:id="231" w:name="_Toc28451"/>
      <w:bookmarkStart w:id="232" w:name="_Toc19219"/>
      <w:r>
        <w:rPr>
          <w:rFonts w:hint="eastAsia" w:asciiTheme="minorEastAsia" w:hAnsiTheme="minorEastAsia" w:eastAsiaTheme="minorEastAsia" w:cstheme="minorEastAsia"/>
          <w:b/>
          <w:bCs/>
          <w:color w:val="auto"/>
          <w:sz w:val="24"/>
          <w:szCs w:val="24"/>
          <w:highlight w:val="none"/>
          <w:lang w:val="zh-CN"/>
        </w:rPr>
        <w:t>2.5 结算方式和付款条件</w:t>
      </w:r>
      <w:bookmarkEnd w:id="224"/>
      <w:bookmarkEnd w:id="225"/>
      <w:bookmarkEnd w:id="226"/>
      <w:bookmarkEnd w:id="227"/>
      <w:bookmarkEnd w:id="228"/>
      <w:bookmarkEnd w:id="230"/>
      <w:bookmarkEnd w:id="231"/>
      <w:bookmarkEnd w:id="232"/>
    </w:p>
    <w:p w14:paraId="3A1982C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w:t>
      </w:r>
    </w:p>
    <w:p w14:paraId="09E02CEC">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33" w:name="_Toc259093677"/>
      <w:bookmarkStart w:id="234" w:name="_Toc279701248"/>
      <w:bookmarkStart w:id="235" w:name="_Toc487900358"/>
      <w:bookmarkStart w:id="236" w:name="_Ref467379863"/>
      <w:bookmarkStart w:id="237" w:name="_Ref467379852"/>
      <w:bookmarkStart w:id="238" w:name="_Ref467379923"/>
      <w:bookmarkStart w:id="239" w:name="_Toc3225"/>
      <w:bookmarkStart w:id="240" w:name="_Toc774"/>
      <w:bookmarkStart w:id="241" w:name="_Toc16110"/>
      <w:r>
        <w:rPr>
          <w:rFonts w:hint="eastAsia" w:asciiTheme="minorEastAsia" w:hAnsiTheme="minorEastAsia" w:eastAsiaTheme="minorEastAsia" w:cstheme="minorEastAsia"/>
          <w:b/>
          <w:bCs/>
          <w:color w:val="auto"/>
          <w:sz w:val="24"/>
          <w:szCs w:val="24"/>
          <w:highlight w:val="none"/>
          <w:lang w:val="zh-CN"/>
        </w:rPr>
        <w:t>2.6 技术资料</w:t>
      </w:r>
      <w:bookmarkEnd w:id="233"/>
      <w:bookmarkEnd w:id="234"/>
      <w:bookmarkEnd w:id="235"/>
      <w:bookmarkEnd w:id="236"/>
      <w:bookmarkEnd w:id="237"/>
      <w:bookmarkEnd w:id="238"/>
      <w:r>
        <w:rPr>
          <w:rFonts w:hint="eastAsia" w:asciiTheme="minorEastAsia" w:hAnsiTheme="minorEastAsia" w:eastAsiaTheme="minorEastAsia" w:cstheme="minorEastAsia"/>
          <w:b/>
          <w:bCs/>
          <w:color w:val="auto"/>
          <w:sz w:val="24"/>
          <w:szCs w:val="24"/>
          <w:highlight w:val="none"/>
          <w:lang w:val="zh-CN"/>
        </w:rPr>
        <w:t>和保密义务</w:t>
      </w:r>
      <w:bookmarkEnd w:id="239"/>
      <w:bookmarkEnd w:id="240"/>
      <w:bookmarkEnd w:id="241"/>
    </w:p>
    <w:p w14:paraId="18541AA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2.6.1乙方有权依据合同约定和项目需要，向甲方了解有关情况，调阅有关资料等，甲方应予积极配合；</w:t>
      </w:r>
    </w:p>
    <w:p w14:paraId="555D379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2.6.2乙方有义务妥善保管和保护由甲方提供的前款信息和资料等；</w:t>
      </w:r>
    </w:p>
    <w:p w14:paraId="526D286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69D8BEB3">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42" w:name="_Toc7860"/>
      <w:r>
        <w:rPr>
          <w:rFonts w:hint="eastAsia" w:asciiTheme="minorEastAsia" w:hAnsiTheme="minorEastAsia" w:eastAsiaTheme="minorEastAsia" w:cstheme="minorEastAsia"/>
          <w:b/>
          <w:bCs/>
          <w:color w:val="auto"/>
          <w:sz w:val="24"/>
          <w:szCs w:val="24"/>
          <w:highlight w:val="none"/>
          <w:lang w:val="zh-CN"/>
        </w:rPr>
        <w:t>2.7 质量保证</w:t>
      </w:r>
      <w:bookmarkEnd w:id="242"/>
    </w:p>
    <w:p w14:paraId="3BB45D7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2.7.1乙方应建立和完善履行合同的内部质量保证体系，并提供相关内部规章制度给甲方，以便甲方进行监督检查；</w:t>
      </w:r>
    </w:p>
    <w:p w14:paraId="30A9A81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2.7.2乙方应保证履行合同的人员数量和素质、软件和硬件设备的配置、场地、环境和设施等满足全面履行合同的要求，并应接受甲方的监督检查。</w:t>
      </w:r>
    </w:p>
    <w:p w14:paraId="6A9ED105">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szCs w:val="24"/>
          <w:highlight w:val="none"/>
        </w:rPr>
      </w:pPr>
      <w:bookmarkStart w:id="243" w:name="_Toc22267"/>
      <w:r>
        <w:rPr>
          <w:rFonts w:hint="eastAsia" w:asciiTheme="minorEastAsia" w:hAnsiTheme="minorEastAsia" w:eastAsiaTheme="minorEastAsia" w:cstheme="minorEastAsia"/>
          <w:b/>
          <w:color w:val="auto"/>
          <w:sz w:val="24"/>
          <w:szCs w:val="24"/>
          <w:highlight w:val="none"/>
        </w:rPr>
        <w:t>2.8 延迟履行</w:t>
      </w:r>
      <w:bookmarkEnd w:id="243"/>
    </w:p>
    <w:p w14:paraId="5EB1ACE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5B4C6C4B">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44" w:name="_Toc7502"/>
      <w:bookmarkStart w:id="245" w:name="_Ref467378121"/>
      <w:bookmarkStart w:id="246" w:name="_Toc279701254"/>
      <w:bookmarkStart w:id="247" w:name="_Toc259093683"/>
      <w:bookmarkStart w:id="248" w:name="_Toc487900364"/>
      <w:r>
        <w:rPr>
          <w:rFonts w:hint="eastAsia" w:asciiTheme="minorEastAsia" w:hAnsiTheme="minorEastAsia" w:eastAsiaTheme="minorEastAsia" w:cstheme="minorEastAsia"/>
          <w:b/>
          <w:bCs/>
          <w:color w:val="auto"/>
          <w:sz w:val="24"/>
          <w:szCs w:val="24"/>
          <w:highlight w:val="none"/>
          <w:lang w:val="zh-CN"/>
        </w:rPr>
        <w:t>2.9 合同变更</w:t>
      </w:r>
      <w:bookmarkEnd w:id="244"/>
    </w:p>
    <w:p w14:paraId="7F79A02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2.9.1双方当事人协商一致，可以签订书面补充合同的形式变更合同，但不得违背采购文件确定的事项；</w:t>
      </w:r>
    </w:p>
    <w:p w14:paraId="6ADF47B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2.9.2合同继续履行将损害国家利益和社会公共利益的，双方当事人应当以书面形式变更合同。有过错的一方应当承担赔偿责任，双方当事人都有过错的，各自承担相应的责任。</w:t>
      </w:r>
      <w:bookmarkStart w:id="249" w:name="_Toc279701259"/>
      <w:bookmarkStart w:id="250" w:name="_Toc259093688"/>
      <w:bookmarkStart w:id="251" w:name="_Toc487900369"/>
    </w:p>
    <w:p w14:paraId="033CA1E8">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52" w:name="_Toc15237"/>
      <w:bookmarkStart w:id="253" w:name="_Toc10366"/>
      <w:bookmarkStart w:id="254" w:name="_Toc22955"/>
      <w:r>
        <w:rPr>
          <w:rFonts w:hint="eastAsia" w:asciiTheme="minorEastAsia" w:hAnsiTheme="minorEastAsia" w:eastAsiaTheme="minorEastAsia" w:cstheme="minorEastAsia"/>
          <w:b/>
          <w:bCs/>
          <w:color w:val="auto"/>
          <w:sz w:val="24"/>
          <w:szCs w:val="24"/>
          <w:highlight w:val="none"/>
          <w:lang w:val="zh-CN"/>
        </w:rPr>
        <w:t>2.10 合同转让</w:t>
      </w:r>
      <w:bookmarkEnd w:id="249"/>
      <w:bookmarkEnd w:id="250"/>
      <w:bookmarkEnd w:id="251"/>
      <w:r>
        <w:rPr>
          <w:rFonts w:hint="eastAsia" w:asciiTheme="minorEastAsia" w:hAnsiTheme="minorEastAsia" w:eastAsiaTheme="minorEastAsia" w:cstheme="minorEastAsia"/>
          <w:b/>
          <w:bCs/>
          <w:color w:val="auto"/>
          <w:sz w:val="24"/>
          <w:szCs w:val="24"/>
          <w:highlight w:val="none"/>
          <w:lang w:val="zh-CN"/>
        </w:rPr>
        <w:t>和分包</w:t>
      </w:r>
      <w:bookmarkEnd w:id="252"/>
      <w:bookmarkEnd w:id="253"/>
      <w:bookmarkEnd w:id="254"/>
    </w:p>
    <w:p w14:paraId="027E7B5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BDB666C">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55" w:name="_Toc13566"/>
      <w:bookmarkStart w:id="256" w:name="_Toc16508"/>
      <w:bookmarkStart w:id="257" w:name="_Toc14066"/>
      <w:r>
        <w:rPr>
          <w:rFonts w:hint="eastAsia" w:asciiTheme="minorEastAsia" w:hAnsiTheme="minorEastAsia" w:eastAsiaTheme="minorEastAsia" w:cstheme="minorEastAsia"/>
          <w:b/>
          <w:bCs/>
          <w:color w:val="auto"/>
          <w:sz w:val="24"/>
          <w:szCs w:val="24"/>
          <w:highlight w:val="none"/>
          <w:lang w:val="zh-CN"/>
        </w:rPr>
        <w:t>2.11 不可抗力</w:t>
      </w:r>
      <w:bookmarkEnd w:id="255"/>
      <w:bookmarkEnd w:id="256"/>
      <w:bookmarkEnd w:id="257"/>
    </w:p>
    <w:p w14:paraId="2A851DF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2.11.1如果任何一方遭遇法律规定的不可抗力，致使合同履行受阻时，履行合同的期限应予延长，延长的期限应相当于不可抗力所影响的时间；</w:t>
      </w:r>
    </w:p>
    <w:p w14:paraId="64C2E11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2.11.2因不可抗力致使不能实现合同目的的，当事人可以解除合同；</w:t>
      </w:r>
    </w:p>
    <w:p w14:paraId="154A7D3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2.11.3因不可抗力致使合同有变更必要的，双方当事人应在</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约定时间内以书面形式变更合同；</w:t>
      </w:r>
    </w:p>
    <w:p w14:paraId="5788A21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2.11.4受不可抗力影响的一方在不可抗力发生后，应在</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约定时间内以书面形式通知对方当事人，并在</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约定时间内，将有关部门出具的证明文件送达对方当事人。</w:t>
      </w:r>
    </w:p>
    <w:p w14:paraId="4DBA2D38">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58" w:name="_Toc6969"/>
      <w:bookmarkStart w:id="259" w:name="_Toc689"/>
      <w:bookmarkStart w:id="260" w:name="_Toc259093684"/>
      <w:bookmarkStart w:id="261" w:name="_Toc487900365"/>
      <w:bookmarkStart w:id="262" w:name="_Toc279701255"/>
      <w:bookmarkStart w:id="263" w:name="_Toc30676"/>
      <w:r>
        <w:rPr>
          <w:rFonts w:hint="eastAsia" w:asciiTheme="minorEastAsia" w:hAnsiTheme="minorEastAsia" w:eastAsiaTheme="minorEastAsia" w:cstheme="minorEastAsia"/>
          <w:b/>
          <w:bCs/>
          <w:color w:val="auto"/>
          <w:sz w:val="24"/>
          <w:szCs w:val="24"/>
          <w:highlight w:val="none"/>
          <w:lang w:val="zh-CN"/>
        </w:rPr>
        <w:t>2.12 税费</w:t>
      </w:r>
      <w:bookmarkEnd w:id="258"/>
      <w:bookmarkEnd w:id="259"/>
      <w:bookmarkEnd w:id="260"/>
      <w:bookmarkEnd w:id="261"/>
      <w:bookmarkEnd w:id="262"/>
      <w:bookmarkEnd w:id="263"/>
    </w:p>
    <w:p w14:paraId="09AE011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与合同有关的一切税费，均按照中华人民共和国法律的相关规定缴纳。</w:t>
      </w:r>
    </w:p>
    <w:p w14:paraId="62C9D26F">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64" w:name="_Toc7102"/>
      <w:bookmarkStart w:id="265" w:name="_Toc259093687"/>
      <w:bookmarkStart w:id="266" w:name="_Toc279701258"/>
      <w:bookmarkStart w:id="267" w:name="_Toc8298"/>
      <w:bookmarkStart w:id="268" w:name="_Toc16959"/>
      <w:bookmarkStart w:id="269" w:name="_Toc487900368"/>
      <w:r>
        <w:rPr>
          <w:rFonts w:hint="eastAsia" w:asciiTheme="minorEastAsia" w:hAnsiTheme="minorEastAsia" w:eastAsiaTheme="minorEastAsia" w:cstheme="minorEastAsia"/>
          <w:b/>
          <w:bCs/>
          <w:color w:val="auto"/>
          <w:sz w:val="24"/>
          <w:szCs w:val="24"/>
          <w:highlight w:val="none"/>
          <w:lang w:val="zh-CN"/>
        </w:rPr>
        <w:t>2.13 乙方破产</w:t>
      </w:r>
      <w:bookmarkEnd w:id="264"/>
      <w:bookmarkEnd w:id="265"/>
      <w:bookmarkEnd w:id="266"/>
      <w:bookmarkEnd w:id="267"/>
      <w:bookmarkEnd w:id="268"/>
      <w:bookmarkEnd w:id="269"/>
    </w:p>
    <w:p w14:paraId="749FCC13">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D2AA747">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szCs w:val="24"/>
          <w:highlight w:val="none"/>
        </w:rPr>
      </w:pPr>
      <w:bookmarkStart w:id="270" w:name="_Toc15387"/>
      <w:bookmarkStart w:id="271" w:name="_Toc6134"/>
      <w:bookmarkStart w:id="272" w:name="_Toc29333"/>
      <w:r>
        <w:rPr>
          <w:rFonts w:hint="eastAsia" w:asciiTheme="minorEastAsia" w:hAnsiTheme="minorEastAsia" w:eastAsiaTheme="minorEastAsia" w:cstheme="minorEastAsia"/>
          <w:b/>
          <w:bCs/>
          <w:color w:val="auto"/>
          <w:sz w:val="24"/>
          <w:szCs w:val="24"/>
          <w:highlight w:val="none"/>
          <w:lang w:val="zh-CN"/>
        </w:rPr>
        <w:t>2.14 合同中止、终止</w:t>
      </w:r>
      <w:bookmarkEnd w:id="270"/>
      <w:bookmarkEnd w:id="271"/>
      <w:bookmarkEnd w:id="272"/>
    </w:p>
    <w:p w14:paraId="60D3C99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2.14.1双方当事人不得擅自中止或者终止合同；</w:t>
      </w:r>
    </w:p>
    <w:p w14:paraId="6797D22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2.14.2合同继续履行将损害国家利益和社会公共利益的，双方当事人应当中止或者终止合同。有过错的一方应当承担赔偿责任，双方当事人都有过错的，各自承担相应的责任。</w:t>
      </w:r>
    </w:p>
    <w:p w14:paraId="65DB62D6">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lang w:val="zh-CN"/>
        </w:rPr>
      </w:pPr>
      <w:bookmarkStart w:id="273" w:name="_Toc14563"/>
      <w:bookmarkStart w:id="274" w:name="_Toc1125"/>
      <w:bookmarkStart w:id="275" w:name="_Toc6596"/>
      <w:r>
        <w:rPr>
          <w:rFonts w:hint="eastAsia" w:asciiTheme="minorEastAsia" w:hAnsiTheme="minorEastAsia" w:eastAsiaTheme="minorEastAsia" w:cstheme="minorEastAsia"/>
          <w:b/>
          <w:bCs/>
          <w:color w:val="auto"/>
          <w:sz w:val="24"/>
          <w:szCs w:val="24"/>
          <w:highlight w:val="none"/>
          <w:lang w:val="zh-CN"/>
        </w:rPr>
        <w:t>2.15 检验和验收</w:t>
      </w:r>
      <w:bookmarkEnd w:id="273"/>
      <w:bookmarkEnd w:id="274"/>
      <w:bookmarkEnd w:id="275"/>
    </w:p>
    <w:p w14:paraId="09834CC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2.15.1乙方按照</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的约定，定期提交服务报告，甲方按照</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的约定进行定期验收；</w:t>
      </w:r>
    </w:p>
    <w:p w14:paraId="0CDB898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2199ABF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2.15.3检验和验收标准、程序等具体内容以及前述验收书的效力详见</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i/>
          <w:color w:val="auto"/>
          <w:sz w:val="24"/>
          <w:szCs w:val="24"/>
          <w:highlight w:val="none"/>
        </w:rPr>
        <w:t>。</w:t>
      </w:r>
    </w:p>
    <w:bookmarkEnd w:id="245"/>
    <w:bookmarkEnd w:id="246"/>
    <w:bookmarkEnd w:id="247"/>
    <w:bookmarkEnd w:id="248"/>
    <w:p w14:paraId="20368491">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bCs/>
          <w:color w:val="auto"/>
          <w:sz w:val="24"/>
          <w:szCs w:val="24"/>
          <w:highlight w:val="none"/>
        </w:rPr>
      </w:pPr>
      <w:bookmarkStart w:id="276" w:name="_Toc279701263"/>
      <w:bookmarkStart w:id="277" w:name="_Toc487900373"/>
      <w:bookmarkStart w:id="278" w:name="_Toc18567"/>
      <w:bookmarkStart w:id="279" w:name="_Toc259093692"/>
      <w:bookmarkStart w:id="280" w:name="_Toc10330"/>
      <w:bookmarkStart w:id="281" w:name="_Toc12773"/>
      <w:r>
        <w:rPr>
          <w:rFonts w:hint="eastAsia" w:asciiTheme="minorEastAsia" w:hAnsiTheme="minorEastAsia" w:eastAsiaTheme="minorEastAsia" w:cstheme="minorEastAsia"/>
          <w:b/>
          <w:bCs/>
          <w:color w:val="auto"/>
          <w:sz w:val="24"/>
          <w:szCs w:val="24"/>
          <w:highlight w:val="none"/>
        </w:rPr>
        <w:t xml:space="preserve">2.16 </w:t>
      </w:r>
      <w:r>
        <w:rPr>
          <w:rFonts w:hint="eastAsia" w:asciiTheme="minorEastAsia" w:hAnsiTheme="minorEastAsia" w:eastAsiaTheme="minorEastAsia" w:cstheme="minorEastAsia"/>
          <w:b/>
          <w:bCs/>
          <w:color w:val="auto"/>
          <w:sz w:val="24"/>
          <w:szCs w:val="24"/>
          <w:highlight w:val="none"/>
          <w:lang w:val="zh-CN"/>
        </w:rPr>
        <w:t>合同使用的文字和适用的法律</w:t>
      </w:r>
      <w:bookmarkEnd w:id="276"/>
      <w:bookmarkEnd w:id="277"/>
      <w:bookmarkEnd w:id="278"/>
      <w:bookmarkEnd w:id="279"/>
      <w:bookmarkEnd w:id="280"/>
      <w:bookmarkEnd w:id="281"/>
    </w:p>
    <w:p w14:paraId="03A2881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2.16.1合同使用汉语书就、变更和解释；</w:t>
      </w:r>
    </w:p>
    <w:p w14:paraId="3572C9D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2.16.2合同适用中华人民共和国法律。</w:t>
      </w:r>
    </w:p>
    <w:p w14:paraId="04D9D5CF">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szCs w:val="24"/>
          <w:highlight w:val="none"/>
        </w:rPr>
      </w:pPr>
      <w:bookmarkStart w:id="282" w:name="_Toc279701264"/>
      <w:bookmarkStart w:id="283" w:name="_Toc3148"/>
      <w:bookmarkStart w:id="284" w:name="_Toc16673"/>
      <w:bookmarkStart w:id="285" w:name="_Toc12004"/>
      <w:bookmarkStart w:id="286" w:name="_Toc259093693"/>
      <w:bookmarkStart w:id="287" w:name="_Toc487900374"/>
      <w:r>
        <w:rPr>
          <w:rFonts w:hint="eastAsia" w:asciiTheme="minorEastAsia" w:hAnsiTheme="minorEastAsia" w:eastAsiaTheme="minorEastAsia" w:cstheme="minorEastAsia"/>
          <w:b/>
          <w:bCs/>
          <w:color w:val="auto"/>
          <w:sz w:val="24"/>
          <w:szCs w:val="24"/>
          <w:highlight w:val="none"/>
          <w:lang w:val="zh-CN"/>
        </w:rPr>
        <w:t>2.17 履约保证金</w:t>
      </w:r>
      <w:bookmarkEnd w:id="282"/>
      <w:bookmarkEnd w:id="283"/>
      <w:bookmarkEnd w:id="284"/>
      <w:bookmarkEnd w:id="285"/>
      <w:bookmarkEnd w:id="286"/>
    </w:p>
    <w:p w14:paraId="7737210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2.17.1采购文件要求乙方提交履约保证金的，乙方应按</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约定的方式，以支票、汇票、本票或者金融机构、担保机构出具的保函等非现金形式提交；</w:t>
      </w:r>
    </w:p>
    <w:p w14:paraId="7879B33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2.17.2履约保证金在</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约定期间内不予退还或者应完全有效，前述约定期间届满之日起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个工作日内，甲方应将履约保证金退还乙方</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甲方</w:t>
      </w:r>
      <w:r>
        <w:rPr>
          <w:rFonts w:hint="eastAsia" w:asciiTheme="minorEastAsia" w:hAnsiTheme="minorEastAsia" w:eastAsiaTheme="minorEastAsia" w:cstheme="minorEastAsia"/>
          <w:color w:val="auto"/>
          <w:sz w:val="24"/>
          <w:szCs w:val="24"/>
          <w:highlight w:val="none"/>
        </w:rPr>
        <w:t>逾期退还履约保证金</w:t>
      </w:r>
      <w:r>
        <w:rPr>
          <w:rFonts w:hint="eastAsia" w:asciiTheme="minorEastAsia" w:hAnsiTheme="minorEastAsia" w:eastAsiaTheme="minorEastAsia" w:cstheme="minorEastAsia"/>
          <w:color w:val="auto"/>
          <w:sz w:val="24"/>
          <w:szCs w:val="24"/>
          <w:highlight w:val="none"/>
          <w:lang w:val="en-US" w:eastAsia="zh-CN"/>
        </w:rPr>
        <w:t>应承担违约责任。</w:t>
      </w:r>
    </w:p>
    <w:p w14:paraId="2B3D937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287"/>
    <w:p w14:paraId="1D6C8563">
      <w:pPr>
        <w:pageBreakBefore w:val="0"/>
        <w:kinsoku/>
        <w:overflowPunct/>
        <w:topLinePunct w:val="0"/>
        <w:bidi w:val="0"/>
        <w:spacing w:line="360" w:lineRule="auto"/>
        <w:ind w:left="0" w:leftChars="0" w:right="0" w:rightChars="0" w:firstLine="437"/>
        <w:textAlignment w:val="auto"/>
        <w:outlineLvl w:val="2"/>
        <w:rPr>
          <w:rFonts w:hint="eastAsia" w:asciiTheme="minorEastAsia" w:hAnsiTheme="minorEastAsia" w:eastAsiaTheme="minorEastAsia" w:cstheme="minorEastAsia"/>
          <w:b/>
          <w:color w:val="auto"/>
          <w:sz w:val="24"/>
          <w:szCs w:val="24"/>
          <w:highlight w:val="none"/>
        </w:rPr>
      </w:pPr>
      <w:bookmarkStart w:id="288" w:name="_Toc14001"/>
      <w:bookmarkStart w:id="289" w:name="_Toc19890"/>
      <w:bookmarkStart w:id="290" w:name="_Toc6885"/>
      <w:r>
        <w:rPr>
          <w:rFonts w:hint="eastAsia" w:asciiTheme="minorEastAsia" w:hAnsiTheme="minorEastAsia" w:eastAsiaTheme="minorEastAsia" w:cstheme="minorEastAsia"/>
          <w:b/>
          <w:bCs/>
          <w:color w:val="auto"/>
          <w:sz w:val="24"/>
          <w:szCs w:val="24"/>
          <w:highlight w:val="none"/>
          <w:lang w:val="zh-CN"/>
        </w:rPr>
        <w:t>2.18 合同份数</w:t>
      </w:r>
      <w:bookmarkEnd w:id="288"/>
      <w:bookmarkEnd w:id="289"/>
      <w:bookmarkEnd w:id="290"/>
    </w:p>
    <w:p w14:paraId="0B79AB0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合同份数按</w:t>
      </w:r>
      <w:r>
        <w:rPr>
          <w:rFonts w:hint="eastAsia" w:asciiTheme="minorEastAsia" w:hAnsiTheme="minorEastAsia" w:eastAsiaTheme="minorEastAsia" w:cstheme="minorEastAsia"/>
          <w:b/>
          <w:i/>
          <w:color w:val="auto"/>
          <w:sz w:val="24"/>
          <w:szCs w:val="24"/>
          <w:highlight w:val="none"/>
          <w:u w:val="single"/>
        </w:rPr>
        <w:t>合同专用条款</w:t>
      </w:r>
      <w:r>
        <w:rPr>
          <w:rFonts w:hint="eastAsia" w:asciiTheme="minorEastAsia" w:hAnsiTheme="minorEastAsia" w:eastAsiaTheme="minorEastAsia" w:cstheme="minorEastAsia"/>
          <w:color w:val="auto"/>
          <w:sz w:val="24"/>
          <w:szCs w:val="24"/>
          <w:highlight w:val="none"/>
        </w:rPr>
        <w:t>规定，每份均具有同等法律效力。</w:t>
      </w:r>
    </w:p>
    <w:p w14:paraId="3D92FE44">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szCs w:val="24"/>
          <w:highlight w:val="none"/>
        </w:rPr>
        <w:br w:type="page"/>
      </w:r>
      <w:bookmarkStart w:id="291" w:name="_Toc3736"/>
      <w:bookmarkStart w:id="292" w:name="_Toc8732"/>
      <w:r>
        <w:rPr>
          <w:rFonts w:hint="eastAsia" w:asciiTheme="minorEastAsia" w:hAnsiTheme="minorEastAsia" w:eastAsiaTheme="minorEastAsia" w:cstheme="minorEastAsia"/>
          <w:b/>
          <w:color w:val="auto"/>
          <w:sz w:val="24"/>
          <w:highlight w:val="none"/>
        </w:rPr>
        <w:t>第三部分 合同专用条款</w:t>
      </w:r>
      <w:bookmarkEnd w:id="291"/>
      <w:bookmarkEnd w:id="292"/>
    </w:p>
    <w:p w14:paraId="693CDC9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15"/>
        <w:tblW w:w="499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63"/>
        <w:gridCol w:w="8262"/>
      </w:tblGrid>
      <w:tr w14:paraId="763C82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3" w:type="pct"/>
            <w:tcBorders>
              <w:left w:val="single" w:color="auto" w:sz="4" w:space="0"/>
            </w:tcBorders>
            <w:vAlign w:val="center"/>
          </w:tcPr>
          <w:p w14:paraId="05F775E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条款号</w:t>
            </w:r>
          </w:p>
        </w:tc>
        <w:tc>
          <w:tcPr>
            <w:tcW w:w="4526" w:type="pct"/>
            <w:vAlign w:val="center"/>
          </w:tcPr>
          <w:p w14:paraId="797AFE3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约定内容</w:t>
            </w:r>
          </w:p>
        </w:tc>
      </w:tr>
      <w:tr w14:paraId="3BC9BF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3" w:type="pct"/>
            <w:tcBorders>
              <w:left w:val="single" w:color="auto" w:sz="4" w:space="0"/>
            </w:tcBorders>
            <w:vAlign w:val="center"/>
          </w:tcPr>
          <w:p w14:paraId="2E477E58">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12F8DFF3">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250BD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3" w:type="pct"/>
            <w:tcBorders>
              <w:left w:val="single" w:color="auto" w:sz="4" w:space="0"/>
            </w:tcBorders>
            <w:vAlign w:val="center"/>
          </w:tcPr>
          <w:p w14:paraId="45CF509C">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2BBF6BB2">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31E69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3" w:type="pct"/>
            <w:tcBorders>
              <w:left w:val="single" w:color="auto" w:sz="4" w:space="0"/>
            </w:tcBorders>
            <w:vAlign w:val="center"/>
          </w:tcPr>
          <w:p w14:paraId="56B3DA45">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1B8FF7AE">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74DB41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3" w:type="pct"/>
            <w:tcBorders>
              <w:left w:val="single" w:color="auto" w:sz="4" w:space="0"/>
            </w:tcBorders>
            <w:vAlign w:val="center"/>
          </w:tcPr>
          <w:p w14:paraId="6A86B3F1">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148C6CCA">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639683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3" w:type="pct"/>
            <w:tcBorders>
              <w:left w:val="single" w:color="auto" w:sz="4" w:space="0"/>
            </w:tcBorders>
            <w:vAlign w:val="center"/>
          </w:tcPr>
          <w:p w14:paraId="30E7FD3E">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2B1C4770">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single"/>
              </w:rPr>
            </w:pPr>
          </w:p>
        </w:tc>
      </w:tr>
      <w:tr w14:paraId="17E48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3" w:type="pct"/>
            <w:tcBorders>
              <w:left w:val="single" w:color="auto" w:sz="4" w:space="0"/>
            </w:tcBorders>
            <w:vAlign w:val="center"/>
          </w:tcPr>
          <w:p w14:paraId="4C9CDEFC">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5BD6E3C2">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778536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3" w:type="pct"/>
            <w:tcBorders>
              <w:left w:val="single" w:color="auto" w:sz="4" w:space="0"/>
            </w:tcBorders>
            <w:vAlign w:val="center"/>
          </w:tcPr>
          <w:p w14:paraId="795662D6">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7347C54A">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single"/>
              </w:rPr>
            </w:pPr>
          </w:p>
        </w:tc>
      </w:tr>
      <w:tr w14:paraId="2C705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3" w:type="pct"/>
            <w:tcBorders>
              <w:left w:val="single" w:color="auto" w:sz="4" w:space="0"/>
            </w:tcBorders>
            <w:vAlign w:val="center"/>
          </w:tcPr>
          <w:p w14:paraId="5FA6A881">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2F74FCD0">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734E9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3" w:type="pct"/>
            <w:tcBorders>
              <w:left w:val="single" w:color="auto" w:sz="4" w:space="0"/>
            </w:tcBorders>
            <w:vAlign w:val="center"/>
          </w:tcPr>
          <w:p w14:paraId="7A794A07">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52252A36">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004980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3" w:type="pct"/>
            <w:tcBorders>
              <w:left w:val="single" w:color="auto" w:sz="4" w:space="0"/>
            </w:tcBorders>
            <w:vAlign w:val="center"/>
          </w:tcPr>
          <w:p w14:paraId="52860270">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vAlign w:val="center"/>
          </w:tcPr>
          <w:p w14:paraId="0BF23E67">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588FAC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3" w:type="pct"/>
            <w:tcBorders>
              <w:top w:val="single" w:color="auto" w:sz="6" w:space="0"/>
              <w:left w:val="single" w:color="auto" w:sz="4" w:space="0"/>
              <w:bottom w:val="single" w:color="auto" w:sz="6" w:space="0"/>
              <w:right w:val="single" w:color="auto" w:sz="6" w:space="0"/>
            </w:tcBorders>
            <w:vAlign w:val="center"/>
          </w:tcPr>
          <w:p w14:paraId="7D5A2623">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tcBorders>
              <w:top w:val="single" w:color="auto" w:sz="6" w:space="0"/>
              <w:left w:val="single" w:color="auto" w:sz="6" w:space="0"/>
              <w:bottom w:val="single" w:color="auto" w:sz="6" w:space="0"/>
              <w:right w:val="single" w:color="auto" w:sz="6" w:space="0"/>
            </w:tcBorders>
            <w:vAlign w:val="center"/>
          </w:tcPr>
          <w:p w14:paraId="45E70E3C">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r w14:paraId="4A57AC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3" w:type="pct"/>
            <w:tcBorders>
              <w:top w:val="single" w:color="auto" w:sz="6" w:space="0"/>
              <w:left w:val="single" w:color="auto" w:sz="4" w:space="0"/>
              <w:bottom w:val="single" w:color="auto" w:sz="6" w:space="0"/>
              <w:right w:val="single" w:color="auto" w:sz="6" w:space="0"/>
            </w:tcBorders>
            <w:vAlign w:val="center"/>
          </w:tcPr>
          <w:p w14:paraId="473C4535">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c>
          <w:tcPr>
            <w:tcW w:w="4526" w:type="pct"/>
            <w:tcBorders>
              <w:top w:val="single" w:color="auto" w:sz="6" w:space="0"/>
              <w:left w:val="single" w:color="auto" w:sz="6" w:space="0"/>
              <w:bottom w:val="single" w:color="auto" w:sz="6" w:space="0"/>
              <w:right w:val="single" w:color="auto" w:sz="6" w:space="0"/>
            </w:tcBorders>
            <w:vAlign w:val="center"/>
          </w:tcPr>
          <w:p w14:paraId="0D9B8D50">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p>
        </w:tc>
      </w:tr>
    </w:tbl>
    <w:p w14:paraId="72D51DFD">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highlight w:val="none"/>
        </w:rPr>
      </w:pPr>
    </w:p>
    <w:p w14:paraId="77DD3122">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bookmarkEnd w:id="144"/>
    <w:p w14:paraId="12420306">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0"/>
        <w:rPr>
          <w:rStyle w:val="19"/>
          <w:rFonts w:hint="eastAsia" w:asciiTheme="minorEastAsia" w:hAnsiTheme="minorEastAsia" w:eastAsiaTheme="minorEastAsia" w:cstheme="minorEastAsia"/>
          <w:color w:val="auto"/>
          <w:kern w:val="44"/>
          <w:sz w:val="44"/>
          <w:szCs w:val="44"/>
          <w:highlight w:val="none"/>
          <w:lang w:val="en-US" w:eastAsia="zh-CN" w:bidi="ar-SA"/>
        </w:rPr>
      </w:pPr>
      <w:bookmarkStart w:id="293" w:name="_Toc13367"/>
      <w:bookmarkStart w:id="294" w:name="_Toc13555"/>
      <w:bookmarkStart w:id="295" w:name="_Toc3642"/>
      <w:r>
        <w:rPr>
          <w:rStyle w:val="19"/>
          <w:rFonts w:hint="eastAsia" w:asciiTheme="minorEastAsia" w:hAnsiTheme="minorEastAsia" w:eastAsiaTheme="minorEastAsia" w:cstheme="minorEastAsia"/>
          <w:color w:val="auto"/>
          <w:kern w:val="44"/>
          <w:sz w:val="44"/>
          <w:szCs w:val="44"/>
          <w:highlight w:val="none"/>
          <w:lang w:val="en-US" w:eastAsia="zh-CN" w:bidi="ar-SA"/>
        </w:rPr>
        <w:t>第六章  投标文件格式</w:t>
      </w:r>
      <w:bookmarkEnd w:id="293"/>
      <w:bookmarkEnd w:id="294"/>
      <w:bookmarkEnd w:id="295"/>
    </w:p>
    <w:p w14:paraId="6D952B9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72"/>
          <w:highlight w:val="none"/>
        </w:rPr>
      </w:pPr>
    </w:p>
    <w:p w14:paraId="181334A1">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72"/>
          <w:highlight w:val="none"/>
        </w:rPr>
      </w:pPr>
      <w:bookmarkStart w:id="296" w:name="_Toc5119"/>
      <w:bookmarkStart w:id="297" w:name="_Toc8461"/>
      <w:r>
        <w:rPr>
          <w:rFonts w:hint="eastAsia" w:asciiTheme="minorEastAsia" w:hAnsiTheme="minorEastAsia" w:eastAsiaTheme="minorEastAsia" w:cstheme="minorEastAsia"/>
          <w:b/>
          <w:color w:val="auto"/>
          <w:sz w:val="72"/>
          <w:highlight w:val="none"/>
        </w:rPr>
        <w:t>投</w:t>
      </w:r>
      <w:bookmarkEnd w:id="296"/>
      <w:bookmarkEnd w:id="297"/>
    </w:p>
    <w:p w14:paraId="34384D8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72"/>
          <w:highlight w:val="none"/>
        </w:rPr>
      </w:pPr>
    </w:p>
    <w:p w14:paraId="48167DC0">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72"/>
          <w:highlight w:val="none"/>
        </w:rPr>
      </w:pPr>
      <w:bookmarkStart w:id="298" w:name="_Toc4782"/>
      <w:bookmarkStart w:id="299" w:name="_Toc25094"/>
      <w:r>
        <w:rPr>
          <w:rFonts w:hint="eastAsia" w:asciiTheme="minorEastAsia" w:hAnsiTheme="minorEastAsia" w:eastAsiaTheme="minorEastAsia" w:cstheme="minorEastAsia"/>
          <w:b/>
          <w:color w:val="auto"/>
          <w:sz w:val="72"/>
          <w:highlight w:val="none"/>
        </w:rPr>
        <w:t>标</w:t>
      </w:r>
      <w:bookmarkEnd w:id="298"/>
      <w:bookmarkEnd w:id="299"/>
    </w:p>
    <w:p w14:paraId="761138C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72"/>
          <w:highlight w:val="none"/>
        </w:rPr>
      </w:pPr>
    </w:p>
    <w:p w14:paraId="6C75E4D0">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72"/>
          <w:highlight w:val="none"/>
        </w:rPr>
      </w:pPr>
      <w:bookmarkStart w:id="300" w:name="_Toc19607"/>
      <w:bookmarkStart w:id="301" w:name="_Toc30175"/>
      <w:r>
        <w:rPr>
          <w:rFonts w:hint="eastAsia" w:asciiTheme="minorEastAsia" w:hAnsiTheme="minorEastAsia" w:eastAsiaTheme="minorEastAsia" w:cstheme="minorEastAsia"/>
          <w:b/>
          <w:color w:val="auto"/>
          <w:sz w:val="72"/>
          <w:highlight w:val="none"/>
        </w:rPr>
        <w:t>文</w:t>
      </w:r>
      <w:bookmarkEnd w:id="300"/>
      <w:bookmarkEnd w:id="301"/>
    </w:p>
    <w:p w14:paraId="6027E47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72"/>
          <w:highlight w:val="none"/>
        </w:rPr>
      </w:pPr>
    </w:p>
    <w:p w14:paraId="7AF53158">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72"/>
          <w:highlight w:val="none"/>
        </w:rPr>
      </w:pPr>
      <w:bookmarkStart w:id="302" w:name="_Toc8365"/>
      <w:bookmarkStart w:id="303" w:name="_Toc11898"/>
      <w:r>
        <w:rPr>
          <w:rFonts w:hint="eastAsia" w:asciiTheme="minorEastAsia" w:hAnsiTheme="minorEastAsia" w:eastAsiaTheme="minorEastAsia" w:cstheme="minorEastAsia"/>
          <w:b/>
          <w:color w:val="auto"/>
          <w:sz w:val="72"/>
          <w:highlight w:val="none"/>
        </w:rPr>
        <w:t>件</w:t>
      </w:r>
      <w:bookmarkEnd w:id="302"/>
      <w:bookmarkEnd w:id="303"/>
    </w:p>
    <w:p w14:paraId="5651299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72"/>
          <w:highlight w:val="none"/>
        </w:rPr>
      </w:pPr>
    </w:p>
    <w:p w14:paraId="424B8C95">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643" w:firstLineChars="200"/>
        <w:jc w:val="center"/>
        <w:textAlignment w:val="auto"/>
        <w:outlineLvl w:val="9"/>
        <w:rPr>
          <w:rFonts w:hint="eastAsia" w:asciiTheme="minorEastAsia" w:hAnsiTheme="minorEastAsia" w:eastAsiaTheme="minorEastAsia" w:cstheme="minorEastAsia"/>
          <w:color w:val="auto"/>
          <w:sz w:val="24"/>
          <w:szCs w:val="18"/>
          <w:highlight w:val="none"/>
          <w:lang w:val="en-US" w:eastAsia="zh-CN"/>
        </w:rPr>
      </w:pPr>
      <w:bookmarkStart w:id="304" w:name="_Toc32506"/>
      <w:bookmarkStart w:id="305" w:name="_Toc29674"/>
      <w:bookmarkStart w:id="306" w:name="_Toc32488"/>
      <w:r>
        <w:rPr>
          <w:rFonts w:hint="eastAsia" w:asciiTheme="minorEastAsia" w:hAnsiTheme="minorEastAsia" w:eastAsiaTheme="minorEastAsia" w:cstheme="minorEastAsia"/>
          <w:b/>
          <w:color w:val="auto"/>
          <w:sz w:val="32"/>
          <w:szCs w:val="32"/>
          <w:highlight w:val="none"/>
        </w:rPr>
        <w:t>【第</w:t>
      </w:r>
      <w:r>
        <w:rPr>
          <w:rFonts w:hint="eastAsia" w:asciiTheme="minorEastAsia" w:hAnsiTheme="minorEastAsia" w:eastAsiaTheme="minorEastAsia" w:cstheme="minorEastAsia"/>
          <w:b/>
          <w:color w:val="auto"/>
          <w:sz w:val="32"/>
          <w:szCs w:val="32"/>
          <w:highlight w:val="none"/>
          <w:u w:val="single"/>
        </w:rPr>
        <w:t xml:space="preserve">   </w:t>
      </w:r>
      <w:r>
        <w:rPr>
          <w:rFonts w:hint="eastAsia" w:asciiTheme="minorEastAsia" w:hAnsiTheme="minorEastAsia" w:eastAsiaTheme="minorEastAsia" w:cstheme="minorEastAsia"/>
          <w:b/>
          <w:color w:val="auto"/>
          <w:sz w:val="32"/>
          <w:szCs w:val="32"/>
          <w:highlight w:val="none"/>
        </w:rPr>
        <w:t>包】</w:t>
      </w:r>
      <w:bookmarkEnd w:id="304"/>
      <w:r>
        <w:rPr>
          <w:rFonts w:hint="eastAsia" w:asciiTheme="minorEastAsia" w:hAnsiTheme="minorEastAsia" w:eastAsiaTheme="minorEastAsia" w:cstheme="minorEastAsia"/>
          <w:b w:val="0"/>
          <w:bCs w:val="0"/>
          <w:i/>
          <w:iCs/>
          <w:color w:val="auto"/>
          <w:kern w:val="2"/>
          <w:sz w:val="24"/>
          <w:szCs w:val="18"/>
          <w:highlight w:val="none"/>
          <w:lang w:val="en-US" w:eastAsia="zh-CN" w:bidi="ar-SA"/>
        </w:rPr>
        <w:t>（如不分包，请删去本行）</w:t>
      </w:r>
      <w:bookmarkEnd w:id="305"/>
      <w:bookmarkEnd w:id="306"/>
    </w:p>
    <w:p w14:paraId="133E6945">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32"/>
          <w:szCs w:val="32"/>
          <w:highlight w:val="none"/>
        </w:rPr>
      </w:pPr>
    </w:p>
    <w:p w14:paraId="37366C6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8"/>
          <w:szCs w:val="28"/>
          <w:highlight w:val="none"/>
        </w:rPr>
      </w:pPr>
    </w:p>
    <w:p w14:paraId="3DB21FDC">
      <w:pPr>
        <w:pageBreakBefore w:val="0"/>
        <w:tabs>
          <w:tab w:val="left" w:pos="2410"/>
        </w:tabs>
        <w:kinsoku/>
        <w:overflowPunct/>
        <w:topLinePunct w:val="0"/>
        <w:autoSpaceDE w:val="0"/>
        <w:autoSpaceDN w:val="0"/>
        <w:bidi w:val="0"/>
        <w:adjustRightInd w:val="0"/>
        <w:snapToGrid w:val="0"/>
        <w:spacing w:line="360" w:lineRule="auto"/>
        <w:ind w:left="0" w:leftChars="0" w:right="0" w:rightChars="0" w:firstLine="1928" w:firstLineChars="600"/>
        <w:jc w:val="both"/>
        <w:textAlignment w:val="auto"/>
        <w:outlineLvl w:val="9"/>
        <w:rPr>
          <w:rFonts w:hint="eastAsia" w:asciiTheme="minorEastAsia" w:hAnsiTheme="minorEastAsia" w:eastAsiaTheme="minorEastAsia" w:cstheme="minorEastAsia"/>
          <w:b/>
          <w:color w:val="auto"/>
          <w:spacing w:val="20"/>
          <w:kern w:val="0"/>
          <w:sz w:val="32"/>
          <w:szCs w:val="32"/>
          <w:highlight w:val="none"/>
          <w:lang w:val="en-US" w:eastAsia="zh-CN"/>
        </w:rPr>
      </w:pPr>
      <w:r>
        <w:rPr>
          <w:rFonts w:hint="eastAsia" w:asciiTheme="minorEastAsia" w:hAnsiTheme="minorEastAsia" w:eastAsiaTheme="minorEastAsia" w:cstheme="minorEastAsia"/>
          <w:b/>
          <w:color w:val="auto"/>
          <w:sz w:val="32"/>
          <w:highlight w:val="none"/>
        </w:rPr>
        <w:t>项目名称：</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32"/>
          <w:highlight w:val="none"/>
          <w:u w:val="single"/>
          <w:lang w:val="en-US" w:eastAsia="zh-CN"/>
        </w:rPr>
        <w:t xml:space="preserve">   </w:t>
      </w:r>
      <w:r>
        <w:rPr>
          <w:rFonts w:hint="eastAsia" w:asciiTheme="minorEastAsia" w:hAnsiTheme="minorEastAsia" w:eastAsiaTheme="minorEastAsia" w:cstheme="minorEastAsia"/>
          <w:b/>
          <w:color w:val="auto"/>
          <w:sz w:val="32"/>
          <w:highlight w:val="none"/>
          <w:u w:val="single"/>
        </w:rPr>
        <w:t xml:space="preserve">    </w:t>
      </w:r>
    </w:p>
    <w:p w14:paraId="7B1732F3">
      <w:pPr>
        <w:pageBreakBefore w:val="0"/>
        <w:tabs>
          <w:tab w:val="left" w:pos="2410"/>
        </w:tabs>
        <w:kinsoku/>
        <w:overflowPunct/>
        <w:topLinePunct w:val="0"/>
        <w:autoSpaceDE w:val="0"/>
        <w:autoSpaceDN w:val="0"/>
        <w:bidi w:val="0"/>
        <w:adjustRightInd w:val="0"/>
        <w:snapToGrid w:val="0"/>
        <w:spacing w:line="360" w:lineRule="auto"/>
        <w:ind w:left="0" w:leftChars="0" w:right="0" w:rightChars="0" w:firstLine="1928" w:firstLineChars="600"/>
        <w:jc w:val="both"/>
        <w:textAlignment w:val="auto"/>
        <w:outlineLvl w:val="9"/>
        <w:rPr>
          <w:rFonts w:hint="eastAsia" w:asciiTheme="minorEastAsia" w:hAnsiTheme="minorEastAsia" w:eastAsiaTheme="minorEastAsia" w:cstheme="minorEastAsia"/>
          <w:b/>
          <w:color w:val="auto"/>
          <w:sz w:val="32"/>
          <w:highlight w:val="none"/>
          <w:u w:val="single"/>
        </w:rPr>
      </w:pPr>
      <w:r>
        <w:rPr>
          <w:rFonts w:hint="eastAsia" w:asciiTheme="minorEastAsia" w:hAnsiTheme="minorEastAsia" w:eastAsiaTheme="minorEastAsia" w:cstheme="minorEastAsia"/>
          <w:b/>
          <w:color w:val="auto"/>
          <w:sz w:val="32"/>
          <w:highlight w:val="none"/>
        </w:rPr>
        <w:t>项目编号：</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32"/>
          <w:highlight w:val="none"/>
          <w:u w:val="single"/>
          <w:lang w:val="en-US" w:eastAsia="zh-CN"/>
        </w:rPr>
        <w:t xml:space="preserve">   </w:t>
      </w:r>
      <w:r>
        <w:rPr>
          <w:rFonts w:hint="eastAsia" w:asciiTheme="minorEastAsia" w:hAnsiTheme="minorEastAsia" w:eastAsiaTheme="minorEastAsia" w:cstheme="minorEastAsia"/>
          <w:b/>
          <w:color w:val="auto"/>
          <w:sz w:val="32"/>
          <w:highlight w:val="none"/>
          <w:u w:val="single"/>
        </w:rPr>
        <w:t xml:space="preserve">  </w:t>
      </w:r>
    </w:p>
    <w:p w14:paraId="2BDDDB34">
      <w:pPr>
        <w:pageBreakBefore w:val="0"/>
        <w:tabs>
          <w:tab w:val="left" w:pos="2410"/>
        </w:tabs>
        <w:kinsoku/>
        <w:overflowPunct/>
        <w:topLinePunct w:val="0"/>
        <w:autoSpaceDE w:val="0"/>
        <w:autoSpaceDN w:val="0"/>
        <w:bidi w:val="0"/>
        <w:adjustRightInd w:val="0"/>
        <w:snapToGrid w:val="0"/>
        <w:spacing w:line="360" w:lineRule="auto"/>
        <w:ind w:left="0" w:leftChars="0" w:right="0" w:rightChars="0" w:firstLine="1928" w:firstLineChars="600"/>
        <w:jc w:val="both"/>
        <w:textAlignment w:val="auto"/>
        <w:outlineLvl w:val="9"/>
        <w:rPr>
          <w:rFonts w:hint="eastAsia" w:asciiTheme="minorEastAsia" w:hAnsiTheme="minorEastAsia" w:eastAsiaTheme="minorEastAsia" w:cstheme="minorEastAsia"/>
          <w:b/>
          <w:color w:val="auto"/>
          <w:sz w:val="32"/>
          <w:highlight w:val="none"/>
          <w:u w:val="single"/>
        </w:rPr>
      </w:pPr>
      <w:r>
        <w:rPr>
          <w:rFonts w:hint="eastAsia" w:asciiTheme="minorEastAsia" w:hAnsiTheme="minorEastAsia" w:eastAsiaTheme="minorEastAsia" w:cstheme="minorEastAsia"/>
          <w:b/>
          <w:color w:val="auto"/>
          <w:sz w:val="32"/>
          <w:highlight w:val="none"/>
          <w:lang w:val="en-US" w:eastAsia="zh-CN"/>
        </w:rPr>
        <w:t xml:space="preserve">投 </w:t>
      </w:r>
      <w:r>
        <w:rPr>
          <w:rFonts w:hint="eastAsia" w:asciiTheme="minorEastAsia" w:hAnsiTheme="minorEastAsia" w:eastAsiaTheme="minorEastAsia" w:cstheme="minorEastAsia"/>
          <w:b/>
          <w:color w:val="auto"/>
          <w:sz w:val="32"/>
          <w:highlight w:val="none"/>
        </w:rPr>
        <w:t>标</w:t>
      </w:r>
      <w:r>
        <w:rPr>
          <w:rFonts w:hint="eastAsia" w:asciiTheme="minorEastAsia" w:hAnsiTheme="minorEastAsia" w:eastAsiaTheme="minorEastAsia" w:cstheme="minorEastAsia"/>
          <w:b/>
          <w:color w:val="auto"/>
          <w:sz w:val="32"/>
          <w:highlight w:val="none"/>
          <w:lang w:val="en-US" w:eastAsia="zh-CN"/>
        </w:rPr>
        <w:t xml:space="preserve"> </w:t>
      </w:r>
      <w:r>
        <w:rPr>
          <w:rFonts w:hint="eastAsia" w:asciiTheme="minorEastAsia" w:hAnsiTheme="minorEastAsia" w:eastAsiaTheme="minorEastAsia" w:cstheme="minorEastAsia"/>
          <w:b/>
          <w:color w:val="auto"/>
          <w:sz w:val="32"/>
          <w:highlight w:val="none"/>
        </w:rPr>
        <w:t>人：</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32"/>
          <w:highlight w:val="none"/>
          <w:u w:val="single"/>
          <w:lang w:val="en-US" w:eastAsia="zh-CN"/>
        </w:rPr>
        <w:t xml:space="preserve">   </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24"/>
          <w:szCs w:val="16"/>
          <w:highlight w:val="none"/>
          <w:u w:val="none"/>
          <w:lang w:eastAsia="zh-CN"/>
        </w:rPr>
        <w:t>（</w:t>
      </w:r>
      <w:r>
        <w:rPr>
          <w:rFonts w:hint="eastAsia" w:asciiTheme="minorEastAsia" w:hAnsiTheme="minorEastAsia" w:eastAsiaTheme="minorEastAsia" w:cstheme="minorEastAsia"/>
          <w:b/>
          <w:color w:val="auto"/>
          <w:sz w:val="24"/>
          <w:szCs w:val="16"/>
          <w:highlight w:val="none"/>
          <w:u w:val="none"/>
          <w:lang w:val="en-US" w:eastAsia="zh-CN"/>
        </w:rPr>
        <w:t>投标人签章</w:t>
      </w:r>
      <w:r>
        <w:rPr>
          <w:rFonts w:hint="eastAsia" w:asciiTheme="minorEastAsia" w:hAnsiTheme="minorEastAsia" w:eastAsiaTheme="minorEastAsia" w:cstheme="minorEastAsia"/>
          <w:b/>
          <w:color w:val="auto"/>
          <w:sz w:val="24"/>
          <w:szCs w:val="16"/>
          <w:highlight w:val="none"/>
          <w:u w:val="none"/>
          <w:lang w:eastAsia="zh-CN"/>
        </w:rPr>
        <w:t>）</w:t>
      </w:r>
    </w:p>
    <w:p w14:paraId="042937E9">
      <w:pPr>
        <w:pageBreakBefore w:val="0"/>
        <w:kinsoku/>
        <w:overflowPunct/>
        <w:topLinePunct w:val="0"/>
        <w:bidi w:val="0"/>
        <w:spacing w:line="360" w:lineRule="auto"/>
        <w:ind w:left="0" w:leftChars="0" w:right="0" w:rightChars="0"/>
        <w:jc w:val="center"/>
        <w:textAlignment w:val="auto"/>
        <w:outlineLvl w:val="9"/>
        <w:rPr>
          <w:rFonts w:hint="eastAsia" w:asciiTheme="minorEastAsia" w:hAnsiTheme="minorEastAsia" w:eastAsiaTheme="minorEastAsia" w:cstheme="minorEastAsia"/>
          <w:b/>
          <w:color w:val="auto"/>
          <w:sz w:val="32"/>
          <w:highlight w:val="none"/>
        </w:rPr>
      </w:pPr>
      <w:r>
        <w:rPr>
          <w:rFonts w:hint="eastAsia" w:asciiTheme="minorEastAsia" w:hAnsiTheme="minorEastAsia" w:eastAsiaTheme="minorEastAsia" w:cstheme="minorEastAsia"/>
          <w:b/>
          <w:color w:val="auto"/>
          <w:sz w:val="32"/>
          <w:highlight w:val="none"/>
          <w:u w:val="single"/>
        </w:rPr>
        <w:t xml:space="preserve">  </w:t>
      </w:r>
      <w:bookmarkStart w:id="307" w:name="_Toc19687"/>
      <w:bookmarkStart w:id="308" w:name="_Toc8037"/>
      <w:bookmarkStart w:id="309" w:name="_Toc23250"/>
      <w:r>
        <w:rPr>
          <w:rFonts w:hint="eastAsia" w:asciiTheme="minorEastAsia" w:hAnsiTheme="minorEastAsia" w:eastAsiaTheme="minorEastAsia" w:cstheme="minorEastAsia"/>
          <w:b/>
          <w:color w:val="auto"/>
          <w:sz w:val="32"/>
          <w:highlight w:val="none"/>
        </w:rPr>
        <w:t>年</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32"/>
          <w:highlight w:val="none"/>
        </w:rPr>
        <w:t>月</w:t>
      </w:r>
      <w:r>
        <w:rPr>
          <w:rFonts w:hint="eastAsia" w:asciiTheme="minorEastAsia" w:hAnsiTheme="minorEastAsia" w:eastAsiaTheme="minorEastAsia" w:cstheme="minorEastAsia"/>
          <w:b/>
          <w:color w:val="auto"/>
          <w:sz w:val="32"/>
          <w:highlight w:val="none"/>
          <w:u w:val="single"/>
        </w:rPr>
        <w:t xml:space="preserve">  </w:t>
      </w:r>
      <w:r>
        <w:rPr>
          <w:rFonts w:hint="eastAsia" w:asciiTheme="minorEastAsia" w:hAnsiTheme="minorEastAsia" w:eastAsiaTheme="minorEastAsia" w:cstheme="minorEastAsia"/>
          <w:b/>
          <w:color w:val="auto"/>
          <w:sz w:val="32"/>
          <w:highlight w:val="none"/>
        </w:rPr>
        <w:t>日</w:t>
      </w:r>
      <w:bookmarkEnd w:id="307"/>
      <w:bookmarkEnd w:id="308"/>
      <w:bookmarkEnd w:id="309"/>
    </w:p>
    <w:p w14:paraId="6F97E327">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b/>
          <w:color w:val="auto"/>
          <w:sz w:val="28"/>
          <w:highlight w:val="none"/>
        </w:rPr>
      </w:pPr>
      <w:r>
        <w:rPr>
          <w:rFonts w:hint="eastAsia" w:asciiTheme="minorEastAsia" w:hAnsiTheme="minorEastAsia" w:eastAsiaTheme="minorEastAsia" w:cstheme="minorEastAsia"/>
          <w:b/>
          <w:color w:val="auto"/>
          <w:sz w:val="28"/>
          <w:highlight w:val="none"/>
        </w:rPr>
        <w:br w:type="page"/>
      </w:r>
    </w:p>
    <w:p w14:paraId="79588B9F">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rPr>
      </w:pPr>
      <w:bookmarkStart w:id="310" w:name="_Toc17986"/>
      <w:bookmarkStart w:id="311" w:name="_Toc27555"/>
      <w:bookmarkStart w:id="312" w:name="_Toc28960"/>
      <w:r>
        <w:rPr>
          <w:rFonts w:hint="eastAsia" w:asciiTheme="minorEastAsia" w:hAnsiTheme="minorEastAsia" w:eastAsiaTheme="minorEastAsia" w:cstheme="minorEastAsia"/>
          <w:b/>
          <w:color w:val="auto"/>
          <w:sz w:val="24"/>
          <w:highlight w:val="none"/>
        </w:rPr>
        <w:t>一、开标一览表</w:t>
      </w:r>
      <w:bookmarkEnd w:id="310"/>
      <w:bookmarkEnd w:id="311"/>
      <w:bookmarkEnd w:id="312"/>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0"/>
        <w:gridCol w:w="6777"/>
      </w:tblGrid>
      <w:tr w14:paraId="359E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1" w:type="pct"/>
            <w:tcBorders>
              <w:top w:val="single" w:color="auto" w:sz="4" w:space="0"/>
              <w:bottom w:val="single" w:color="auto" w:sz="4" w:space="0"/>
              <w:right w:val="single" w:color="auto" w:sz="4" w:space="0"/>
            </w:tcBorders>
            <w:vAlign w:val="center"/>
          </w:tcPr>
          <w:p w14:paraId="1653D38F">
            <w:pPr>
              <w:pageBreakBefore w:val="0"/>
              <w:widowControl/>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E8685E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Cs/>
                <w:color w:val="auto"/>
                <w:sz w:val="24"/>
                <w:highlight w:val="none"/>
                <w:u w:val="single"/>
              </w:rPr>
            </w:pPr>
          </w:p>
        </w:tc>
      </w:tr>
      <w:tr w14:paraId="63D0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1" w:type="pct"/>
            <w:tcBorders>
              <w:top w:val="nil"/>
            </w:tcBorders>
            <w:vAlign w:val="center"/>
          </w:tcPr>
          <w:p w14:paraId="5A61D5E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投标人全称</w:t>
            </w:r>
          </w:p>
        </w:tc>
        <w:tc>
          <w:tcPr>
            <w:tcW w:w="3648" w:type="pct"/>
            <w:tcBorders>
              <w:top w:val="nil"/>
            </w:tcBorders>
            <w:vAlign w:val="center"/>
          </w:tcPr>
          <w:p w14:paraId="38911242">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highlight w:val="none"/>
              </w:rPr>
            </w:pPr>
          </w:p>
        </w:tc>
      </w:tr>
      <w:tr w14:paraId="3189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1" w:type="pct"/>
            <w:tcBorders>
              <w:top w:val="nil"/>
            </w:tcBorders>
            <w:vAlign w:val="center"/>
          </w:tcPr>
          <w:p w14:paraId="31EFF42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投标范围</w:t>
            </w:r>
          </w:p>
        </w:tc>
        <w:tc>
          <w:tcPr>
            <w:tcW w:w="3648" w:type="pct"/>
            <w:tcBorders>
              <w:top w:val="nil"/>
            </w:tcBorders>
            <w:vAlign w:val="center"/>
          </w:tcPr>
          <w:p w14:paraId="4AEDD4BA">
            <w:pPr>
              <w:keepNext w:val="0"/>
              <w:keepLines w:val="0"/>
              <w:pageBreakBefore w:val="0"/>
              <w:widowControl/>
              <w:kinsoku/>
              <w:wordWrap/>
              <w:overflowPunct/>
              <w:topLinePunct w:val="0"/>
              <w:autoSpaceDE/>
              <w:autoSpaceDN/>
              <w:bidi w:val="0"/>
              <w:adjustRightInd/>
              <w:spacing w:line="360" w:lineRule="auto"/>
              <w:ind w:left="0" w:leftChars="0" w:right="0" w:right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8"/>
                <w:highlight w:val="none"/>
              </w:rPr>
              <w:t>全部/第</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包</w:t>
            </w:r>
          </w:p>
        </w:tc>
      </w:tr>
      <w:tr w14:paraId="1191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1" w:type="pct"/>
            <w:tcBorders>
              <w:top w:val="nil"/>
            </w:tcBorders>
            <w:vAlign w:val="center"/>
          </w:tcPr>
          <w:p w14:paraId="15A35F8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投标报价</w:t>
            </w:r>
          </w:p>
        </w:tc>
        <w:tc>
          <w:tcPr>
            <w:tcW w:w="3648" w:type="pct"/>
            <w:tcBorders>
              <w:top w:val="nil"/>
            </w:tcBorders>
            <w:vAlign w:val="center"/>
          </w:tcPr>
          <w:p w14:paraId="6193BB5D">
            <w:pPr>
              <w:keepNext w:val="0"/>
              <w:keepLines w:val="0"/>
              <w:pageBreakBefore w:val="0"/>
              <w:kinsoku/>
              <w:wordWrap/>
              <w:overflowPunct/>
              <w:topLinePunct w:val="0"/>
              <w:autoSpaceDE/>
              <w:autoSpaceDN/>
              <w:bidi w:val="0"/>
              <w:adjustRightInd/>
              <w:spacing w:line="360" w:lineRule="auto"/>
              <w:ind w:left="0" w:leftChars="0" w:right="0" w:rightChars="0"/>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大写</w:t>
            </w:r>
            <w:r>
              <w:rPr>
                <w:rFonts w:hint="eastAsia" w:asciiTheme="minorEastAsia" w:hAnsiTheme="minorEastAsia" w:eastAsiaTheme="minorEastAsia" w:cstheme="minorEastAsia"/>
                <w:b/>
                <w:color w:val="auto"/>
                <w:sz w:val="24"/>
                <w:highlight w:val="none"/>
                <w:lang w:eastAsia="zh-CN"/>
              </w:rPr>
              <w:t>：</w:t>
            </w:r>
            <w:r>
              <w:rPr>
                <w:rFonts w:hint="eastAsia" w:asciiTheme="minorEastAsia" w:hAnsiTheme="minorEastAsia" w:eastAsiaTheme="minorEastAsia" w:cstheme="minorEastAsia"/>
                <w:b/>
                <w:color w:val="auto"/>
                <w:sz w:val="24"/>
                <w:highlight w:val="none"/>
                <w:u w:val="single"/>
                <w:lang w:val="en-US" w:eastAsia="zh-CN"/>
              </w:rPr>
              <w:t xml:space="preserve">           </w:t>
            </w:r>
          </w:p>
          <w:p w14:paraId="2D1473BC">
            <w:pPr>
              <w:keepNext w:val="0"/>
              <w:keepLines w:val="0"/>
              <w:pageBreakBefore w:val="0"/>
              <w:kinsoku/>
              <w:wordWrap/>
              <w:overflowPunct/>
              <w:topLinePunct w:val="0"/>
              <w:autoSpaceDE/>
              <w:autoSpaceDN/>
              <w:bidi w:val="0"/>
              <w:adjustRightInd/>
              <w:spacing w:line="360" w:lineRule="auto"/>
              <w:ind w:left="0" w:leftChars="0" w:right="0" w:right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小写</w:t>
            </w:r>
            <w:r>
              <w:rPr>
                <w:rFonts w:hint="eastAsia" w:asciiTheme="minorEastAsia" w:hAnsiTheme="minorEastAsia" w:eastAsiaTheme="minorEastAsia" w:cstheme="minorEastAsia"/>
                <w:b/>
                <w:color w:val="auto"/>
                <w:sz w:val="24"/>
                <w:highlight w:val="none"/>
                <w:lang w:eastAsia="zh-CN"/>
              </w:rPr>
              <w:t>：</w:t>
            </w:r>
            <w:r>
              <w:rPr>
                <w:rFonts w:hint="eastAsia" w:asciiTheme="minorEastAsia" w:hAnsiTheme="minorEastAsia" w:eastAsiaTheme="minorEastAsia" w:cstheme="minorEastAsia"/>
                <w:b/>
                <w:color w:val="auto"/>
                <w:sz w:val="24"/>
                <w:highlight w:val="none"/>
                <w:u w:val="single"/>
              </w:rPr>
              <w:t xml:space="preserve">    </w:t>
            </w:r>
            <w:r>
              <w:rPr>
                <w:rFonts w:hint="eastAsia" w:asciiTheme="minorEastAsia" w:hAnsiTheme="minorEastAsia" w:eastAsiaTheme="minorEastAsia" w:cstheme="minorEastAsia"/>
                <w:b/>
                <w:color w:val="auto"/>
                <w:sz w:val="24"/>
                <w:highlight w:val="none"/>
                <w:u w:val="single"/>
                <w:lang w:val="en-US" w:eastAsia="zh-CN"/>
              </w:rPr>
              <w:t xml:space="preserve">    </w:t>
            </w:r>
            <w:r>
              <w:rPr>
                <w:rFonts w:hint="eastAsia" w:asciiTheme="minorEastAsia" w:hAnsiTheme="minorEastAsia" w:eastAsiaTheme="minorEastAsia" w:cstheme="minorEastAsia"/>
                <w:b/>
                <w:color w:val="auto"/>
                <w:sz w:val="24"/>
                <w:highlight w:val="none"/>
                <w:u w:val="single"/>
              </w:rPr>
              <w:t xml:space="preserve">   </w:t>
            </w:r>
            <w:r>
              <w:rPr>
                <w:rFonts w:hint="eastAsia" w:asciiTheme="minorEastAsia" w:hAnsiTheme="minorEastAsia" w:eastAsiaTheme="minorEastAsia" w:cstheme="minorEastAsia"/>
                <w:b/>
                <w:color w:val="auto"/>
                <w:sz w:val="24"/>
                <w:highlight w:val="none"/>
              </w:rPr>
              <w:t xml:space="preserve">   </w:t>
            </w:r>
          </w:p>
        </w:tc>
      </w:tr>
      <w:tr w14:paraId="25A5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1" w:type="pct"/>
            <w:tcBorders>
              <w:top w:val="nil"/>
            </w:tcBorders>
            <w:vAlign w:val="center"/>
          </w:tcPr>
          <w:p w14:paraId="1873F31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其他</w:t>
            </w:r>
          </w:p>
        </w:tc>
        <w:tc>
          <w:tcPr>
            <w:tcW w:w="3648" w:type="pct"/>
            <w:tcBorders>
              <w:top w:val="nil"/>
            </w:tcBorders>
            <w:vAlign w:val="center"/>
          </w:tcPr>
          <w:p w14:paraId="59974290">
            <w:pPr>
              <w:pageBreakBefore w:val="0"/>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szCs w:val="28"/>
                <w:highlight w:val="none"/>
              </w:rPr>
            </w:pPr>
          </w:p>
        </w:tc>
      </w:tr>
    </w:tbl>
    <w:p w14:paraId="76D91858">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投标人签章：</w:t>
      </w:r>
      <w:r>
        <w:rPr>
          <w:rFonts w:hint="eastAsia" w:asciiTheme="minorEastAsia" w:hAnsiTheme="minorEastAsia" w:eastAsiaTheme="minorEastAsia" w:cstheme="minorEastAsia"/>
          <w:color w:val="auto"/>
          <w:sz w:val="24"/>
          <w:highlight w:val="none"/>
          <w:u w:val="single"/>
        </w:rPr>
        <w:t xml:space="preserve">             </w:t>
      </w:r>
    </w:p>
    <w:p w14:paraId="5D905EA4">
      <w:pPr>
        <w:pageBreakBefore w:val="0"/>
        <w:tabs>
          <w:tab w:val="left" w:pos="630"/>
        </w:tabs>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622BD3CB">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lang w:eastAsia="zh-CN"/>
        </w:rPr>
        <w:t>注：</w:t>
      </w:r>
    </w:p>
    <w:p w14:paraId="7F53173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1.表中投标报价即为优惠后报价，并作为评审及定标依据。任何有选择或有条件的投标报价，或者表中某一包别填写多个报价，均为无效报价。</w:t>
      </w:r>
    </w:p>
    <w:p w14:paraId="46149C8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.表中大写金额与小写金额不一致的，以大写金额为准。</w:t>
      </w:r>
    </w:p>
    <w:p w14:paraId="77290EE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3.投标人应根据其投标文件中开标一览表的内容填写唱标信息，唱标信息不作为评标的依据。唱标信息与投标文件中开标一览表不一致的，以投标文件中开标一览表为准。</w:t>
      </w:r>
    </w:p>
    <w:p w14:paraId="16FAF697">
      <w:pPr>
        <w:pStyle w:val="5"/>
        <w:pageBreakBefore w:val="0"/>
        <w:kinsoku/>
        <w:overflowPunct/>
        <w:topLinePunct w:val="0"/>
        <w:bidi w:val="0"/>
        <w:spacing w:line="360" w:lineRule="auto"/>
        <w:ind w:firstLine="480" w:firstLineChars="200"/>
        <w:textAlignment w:val="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highlight w:val="none"/>
          <w:lang w:val="en-US" w:eastAsia="zh-CN"/>
        </w:rPr>
        <w:t>4.针对费率报价项目，因系统中投标文件此项格式不可修改，供应商只需填写%号前面的数字，如投标报价为85.00%，则填写85.00。</w:t>
      </w:r>
    </w:p>
    <w:p w14:paraId="398CDE3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5.特殊事项在备注中注明。</w:t>
      </w:r>
      <w:r>
        <w:rPr>
          <w:rFonts w:hint="eastAsia" w:asciiTheme="minorEastAsia" w:hAnsiTheme="minorEastAsia" w:eastAsiaTheme="minorEastAsia" w:cstheme="minorEastAsia"/>
          <w:color w:val="auto"/>
          <w:sz w:val="24"/>
          <w:highlight w:val="none"/>
        </w:rPr>
        <w:br w:type="page"/>
      </w:r>
    </w:p>
    <w:p w14:paraId="366EF9A2">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rPr>
      </w:pPr>
      <w:bookmarkStart w:id="313" w:name="_Toc26351"/>
      <w:bookmarkStart w:id="314" w:name="_Toc6120"/>
      <w:bookmarkStart w:id="315" w:name="_Toc6441"/>
      <w:r>
        <w:rPr>
          <w:rFonts w:hint="eastAsia" w:asciiTheme="minorEastAsia" w:hAnsiTheme="minorEastAsia" w:eastAsiaTheme="minorEastAsia" w:cstheme="minorEastAsia"/>
          <w:b/>
          <w:color w:val="auto"/>
          <w:sz w:val="24"/>
          <w:highlight w:val="none"/>
        </w:rPr>
        <w:t>二、投标函</w:t>
      </w:r>
      <w:bookmarkEnd w:id="313"/>
      <w:bookmarkEnd w:id="314"/>
      <w:bookmarkEnd w:id="315"/>
    </w:p>
    <w:p w14:paraId="3389A2D2">
      <w:pPr>
        <w:pStyle w:val="8"/>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b/>
          <w:color w:val="auto"/>
          <w:sz w:val="24"/>
          <w:szCs w:val="24"/>
          <w:highlight w:val="none"/>
          <w:u w:val="single"/>
          <w:lang w:val="en-US" w:eastAsia="zh-CN"/>
        </w:rPr>
        <w:t xml:space="preserve">  （采购人名称）  </w:t>
      </w:r>
    </w:p>
    <w:p w14:paraId="2F93226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根据贵方的招标公告和</w:t>
      </w:r>
      <w:r>
        <w:rPr>
          <w:rFonts w:hint="eastAsia" w:asciiTheme="minorEastAsia" w:hAnsiTheme="minorEastAsia" w:eastAsiaTheme="minorEastAsia" w:cstheme="minorEastAsia"/>
          <w:color w:val="auto"/>
          <w:sz w:val="24"/>
          <w:highlight w:val="none"/>
          <w:lang w:val="en-US" w:eastAsia="zh-CN"/>
        </w:rPr>
        <w:t>招标文件</w:t>
      </w:r>
      <w:r>
        <w:rPr>
          <w:rFonts w:hint="eastAsia" w:asciiTheme="minorEastAsia" w:hAnsiTheme="minorEastAsia" w:eastAsiaTheme="minorEastAsia" w:cstheme="minorEastAsia"/>
          <w:color w:val="auto"/>
          <w:sz w:val="24"/>
          <w:highlight w:val="none"/>
        </w:rPr>
        <w:t>，我方兹宣布同意如下：</w:t>
      </w:r>
    </w:p>
    <w:p w14:paraId="7B5323C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rPr>
        <w:t>我方根据招标文件的规定，严格履行合同的责任和义务,并保证于买方要求的日期内完成，并通过买方验收。</w:t>
      </w:r>
    </w:p>
    <w:p w14:paraId="03B9FA0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rPr>
        <w:t>.我方已详细审核全部招标文件，包括招标文件</w:t>
      </w:r>
      <w:r>
        <w:rPr>
          <w:rFonts w:hint="eastAsia" w:asciiTheme="minorEastAsia" w:hAnsiTheme="minorEastAsia" w:eastAsiaTheme="minorEastAsia" w:cstheme="minorEastAsia"/>
          <w:color w:val="auto"/>
          <w:sz w:val="24"/>
          <w:highlight w:val="none"/>
          <w:lang w:val="en-US" w:eastAsia="zh-CN"/>
        </w:rPr>
        <w:t>附件及更正公告（如有）</w:t>
      </w:r>
      <w:r>
        <w:rPr>
          <w:rFonts w:hint="eastAsia" w:asciiTheme="minorEastAsia" w:hAnsiTheme="minorEastAsia" w:eastAsiaTheme="minorEastAsia" w:cstheme="minorEastAsia"/>
          <w:color w:val="auto"/>
          <w:sz w:val="24"/>
          <w:highlight w:val="none"/>
        </w:rPr>
        <w:t>，我方正式认可并遵守本次招标文件，并对招标文件各项条款、规定及要求均无异议。</w:t>
      </w:r>
    </w:p>
    <w:p w14:paraId="637E4E0B">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rPr>
        <w:t>.我方同意从招标文件规定的开标日期起遵循本招标文件，并在招标文件规定的投标有效期之前均具有约束力。</w:t>
      </w:r>
    </w:p>
    <w:p w14:paraId="04CE4B6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2A391E15">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投标人签章：</w:t>
      </w:r>
      <w:r>
        <w:rPr>
          <w:rFonts w:hint="eastAsia" w:asciiTheme="minorEastAsia" w:hAnsiTheme="minorEastAsia" w:eastAsiaTheme="minorEastAsia" w:cstheme="minorEastAsia"/>
          <w:color w:val="auto"/>
          <w:sz w:val="24"/>
          <w:highlight w:val="none"/>
          <w:u w:val="single"/>
        </w:rPr>
        <w:t xml:space="preserve">             </w:t>
      </w:r>
    </w:p>
    <w:p w14:paraId="150A91C5">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718AEA91">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u w:val="single"/>
        </w:rPr>
        <w:br w:type="page"/>
      </w:r>
    </w:p>
    <w:p w14:paraId="6C843CBF">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lang w:val="en-US" w:eastAsia="zh-CN"/>
        </w:rPr>
      </w:pPr>
      <w:bookmarkStart w:id="316" w:name="_Toc22908"/>
      <w:bookmarkStart w:id="317" w:name="_Toc18881"/>
      <w:r>
        <w:rPr>
          <w:rFonts w:hint="eastAsia" w:asciiTheme="minorEastAsia" w:hAnsiTheme="minorEastAsia" w:eastAsiaTheme="minorEastAsia" w:cstheme="minorEastAsia"/>
          <w:b/>
          <w:color w:val="auto"/>
          <w:sz w:val="24"/>
          <w:highlight w:val="none"/>
          <w:lang w:val="en-US" w:eastAsia="zh-CN"/>
        </w:rPr>
        <w:t>三、投标人资格声明书</w:t>
      </w:r>
      <w:bookmarkEnd w:id="316"/>
      <w:bookmarkEnd w:id="317"/>
      <w:r>
        <w:rPr>
          <w:rFonts w:hint="eastAsia" w:asciiTheme="minorEastAsia" w:hAnsiTheme="minorEastAsia" w:eastAsiaTheme="minorEastAsia" w:cstheme="minorEastAsia"/>
          <w:b/>
          <w:color w:val="auto"/>
          <w:sz w:val="24"/>
          <w:highlight w:val="none"/>
          <w:lang w:val="en-US" w:eastAsia="zh-CN"/>
        </w:rPr>
        <w:t xml:space="preserve"> </w:t>
      </w:r>
    </w:p>
    <w:p w14:paraId="5B597341">
      <w:pPr>
        <w:pStyle w:val="5"/>
        <w:pageBreakBefore w:val="0"/>
        <w:kinsoku/>
        <w:overflowPunct/>
        <w:topLinePunct w:val="0"/>
        <w:bidi w:val="0"/>
        <w:spacing w:line="360" w:lineRule="auto"/>
        <w:jc w:val="center"/>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rPr>
        <w:t>（联合体投标的，联合体各成员单位均须提供）</w:t>
      </w:r>
    </w:p>
    <w:p w14:paraId="3E6CD3B9">
      <w:pPr>
        <w:pStyle w:val="8"/>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highlight w:val="none"/>
          <w:u w:val="single"/>
          <w:lang w:eastAsia="zh-CN"/>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b/>
          <w:color w:val="auto"/>
          <w:sz w:val="24"/>
          <w:szCs w:val="24"/>
          <w:highlight w:val="none"/>
          <w:u w:val="single"/>
          <w:lang w:val="en-US" w:eastAsia="zh-CN"/>
        </w:rPr>
        <w:t xml:space="preserve">  （采购人名称）  </w:t>
      </w:r>
    </w:p>
    <w:p w14:paraId="747E048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07154FB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6F18ED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3C7B021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6A1A320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7779BC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 xml:space="preserve">（五）我单位不属于政府采购法律、行政法规规定的公益一类事业单位、或使用事业编制且由财政拨款保障的群团组织（仅适用于政府购买服务项目）； </w:t>
      </w:r>
    </w:p>
    <w:p w14:paraId="1334493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42CF56E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1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3"/>
        <w:gridCol w:w="3096"/>
        <w:gridCol w:w="3096"/>
      </w:tblGrid>
      <w:tr w14:paraId="51C6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55EAD550">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1667" w:type="pct"/>
          </w:tcPr>
          <w:p w14:paraId="62C85587">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1667" w:type="pct"/>
          </w:tcPr>
          <w:p w14:paraId="64D15B7F">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1B74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5F1298B1">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1667" w:type="pct"/>
          </w:tcPr>
          <w:p w14:paraId="3BA43908">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1667" w:type="pct"/>
          </w:tcPr>
          <w:p w14:paraId="32FDE477">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0526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51283923">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1667" w:type="pct"/>
          </w:tcPr>
          <w:p w14:paraId="37419A8F">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1667" w:type="pct"/>
          </w:tcPr>
          <w:p w14:paraId="7B51DD5D">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0062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pct"/>
          </w:tcPr>
          <w:p w14:paraId="4DBC6FA9">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宋体" w:hAnsi="宋体" w:eastAsia="宋体" w:cs="宋体"/>
                <w:color w:val="auto"/>
                <w:kern w:val="0"/>
                <w:sz w:val="24"/>
                <w:szCs w:val="24"/>
                <w:highlight w:val="none"/>
                <w:vertAlign w:val="baseline"/>
                <w:lang w:val="en-US" w:eastAsia="zh-CN" w:bidi="ar"/>
              </w:rPr>
              <w:t>…</w:t>
            </w:r>
          </w:p>
        </w:tc>
        <w:tc>
          <w:tcPr>
            <w:tcW w:w="1667" w:type="pct"/>
          </w:tcPr>
          <w:p w14:paraId="55B67E29">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1667" w:type="pct"/>
          </w:tcPr>
          <w:p w14:paraId="61239E4B">
            <w:pPr>
              <w:pStyle w:val="5"/>
              <w:keepNext w:val="0"/>
              <w:keepLines w:val="0"/>
              <w:pageBreakBefore w:val="0"/>
              <w:kinsoku/>
              <w:wordWrap/>
              <w:overflowPunct/>
              <w:topLinePunct w:val="0"/>
              <w:autoSpaceDE/>
              <w:autoSpaceDN/>
              <w:bidi w:val="0"/>
              <w:adjustRightInd/>
              <w:snapToGrid/>
              <w:spacing w:after="0" w:line="360" w:lineRule="auto"/>
              <w:ind w:left="0" w:leftChars="0" w:right="0" w:rightChars="0"/>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7140793B">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lang w:eastAsia="zh-CN"/>
        </w:rPr>
        <w:t>（</w:t>
      </w:r>
      <w:r>
        <w:rPr>
          <w:rFonts w:hint="eastAsia" w:asciiTheme="minorEastAsia" w:hAnsiTheme="minorEastAsia" w:eastAsiaTheme="minorEastAsia" w:cstheme="minorEastAsia"/>
          <w:color w:val="auto"/>
          <w:sz w:val="24"/>
          <w:szCs w:val="20"/>
          <w:highlight w:val="none"/>
          <w:lang w:val="en-US" w:eastAsia="zh-CN"/>
        </w:rPr>
        <w:t>八</w:t>
      </w:r>
      <w:r>
        <w:rPr>
          <w:rFonts w:hint="eastAsia" w:asciiTheme="minorEastAsia" w:hAnsiTheme="minorEastAsia" w:eastAsiaTheme="minorEastAsia" w:cstheme="minorEastAsia"/>
          <w:color w:val="auto"/>
          <w:sz w:val="24"/>
          <w:szCs w:val="20"/>
          <w:highlight w:val="none"/>
          <w:lang w:eastAsia="zh-CN"/>
        </w:rPr>
        <w:t>）</w:t>
      </w:r>
      <w:r>
        <w:rPr>
          <w:rFonts w:hint="eastAsia" w:asciiTheme="minorEastAsia" w:hAnsiTheme="minorEastAsia" w:eastAsiaTheme="minorEastAsia" w:cstheme="minorEastAsia"/>
          <w:color w:val="auto"/>
          <w:sz w:val="24"/>
          <w:szCs w:val="20"/>
          <w:highlight w:val="none"/>
          <w:lang w:val="en-US" w:eastAsia="zh-CN"/>
        </w:rPr>
        <w:t>我公司</w:t>
      </w:r>
      <w:r>
        <w:rPr>
          <w:rFonts w:hint="eastAsia" w:asciiTheme="minorEastAsia" w:hAnsiTheme="minorEastAsia" w:eastAsiaTheme="minorEastAsia" w:cstheme="minorEastAsia"/>
          <w:color w:val="auto"/>
          <w:sz w:val="24"/>
          <w:szCs w:val="20"/>
          <w:highlight w:val="none"/>
        </w:rPr>
        <w:t>（包括联合体各成员）不存在下列情形之一：</w:t>
      </w:r>
    </w:p>
    <w:p w14:paraId="05574F4C">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（1）为本采购项目的采购代理机构；</w:t>
      </w:r>
    </w:p>
    <w:p w14:paraId="0FDB8E79">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（2）为采购人不具有独立法人资格的附属机构；</w:t>
      </w:r>
    </w:p>
    <w:p w14:paraId="5487BF9D">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（3）与采购人存在利害关系且可能影响采购公正性；</w:t>
      </w:r>
    </w:p>
    <w:p w14:paraId="436C1477">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（4）由本采购项目采购代理机构代理参加政府采购活动，或者接受过本采购项目的采购代理机构为本采购项目提供咨询的；</w:t>
      </w:r>
    </w:p>
    <w:p w14:paraId="47265D4A">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（5）被责令停产停业、暂扣或者吊销许可证、暂扣或者吊销执照；</w:t>
      </w:r>
    </w:p>
    <w:p w14:paraId="0E9FCD62">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（6）进入清算程序，或被宣告破产，或其他丧失履约能力的情形；</w:t>
      </w:r>
    </w:p>
    <w:p w14:paraId="5F2CFD8A">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（7）被依法禁止参加政府采购活动并在有效期内的；</w:t>
      </w:r>
    </w:p>
    <w:p w14:paraId="5EFA6D69">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lang w:eastAsia="zh-CN"/>
        </w:rPr>
      </w:pPr>
      <w:r>
        <w:rPr>
          <w:rFonts w:hint="eastAsia" w:asciiTheme="minorEastAsia" w:hAnsiTheme="minorEastAsia" w:eastAsiaTheme="minorEastAsia" w:cstheme="minorEastAsia"/>
          <w:color w:val="auto"/>
          <w:sz w:val="24"/>
          <w:szCs w:val="20"/>
          <w:highlight w:val="none"/>
        </w:rPr>
        <w:t>（</w:t>
      </w:r>
      <w:r>
        <w:rPr>
          <w:rFonts w:hint="eastAsia" w:asciiTheme="minorEastAsia" w:hAnsiTheme="minorEastAsia" w:eastAsiaTheme="minorEastAsia" w:cstheme="minorEastAsia"/>
          <w:color w:val="auto"/>
          <w:sz w:val="24"/>
          <w:szCs w:val="20"/>
          <w:highlight w:val="none"/>
          <w:lang w:val="en-US" w:eastAsia="zh-CN"/>
        </w:rPr>
        <w:t>8</w:t>
      </w:r>
      <w:r>
        <w:rPr>
          <w:rFonts w:hint="eastAsia" w:asciiTheme="minorEastAsia" w:hAnsiTheme="minorEastAsia" w:eastAsiaTheme="minorEastAsia" w:cstheme="minorEastAsia"/>
          <w:color w:val="auto"/>
          <w:sz w:val="24"/>
          <w:szCs w:val="20"/>
          <w:highlight w:val="none"/>
        </w:rPr>
        <w:t>）被人民法院列入失信被执行人名单</w:t>
      </w:r>
      <w:r>
        <w:rPr>
          <w:rFonts w:hint="eastAsia" w:asciiTheme="minorEastAsia" w:hAnsiTheme="minorEastAsia" w:eastAsiaTheme="minorEastAsia" w:cstheme="minorEastAsia"/>
          <w:color w:val="auto"/>
          <w:sz w:val="24"/>
          <w:szCs w:val="20"/>
          <w:highlight w:val="none"/>
          <w:lang w:eastAsia="zh-CN"/>
        </w:rPr>
        <w:t>；</w:t>
      </w:r>
    </w:p>
    <w:p w14:paraId="27979DAC">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lang w:eastAsia="zh-CN"/>
        </w:rPr>
      </w:pPr>
      <w:r>
        <w:rPr>
          <w:rFonts w:hint="eastAsia" w:asciiTheme="minorEastAsia" w:hAnsiTheme="minorEastAsia" w:eastAsiaTheme="minorEastAsia" w:cstheme="minorEastAsia"/>
          <w:color w:val="auto"/>
          <w:sz w:val="24"/>
          <w:szCs w:val="20"/>
          <w:highlight w:val="none"/>
        </w:rPr>
        <w:t>（</w:t>
      </w:r>
      <w:r>
        <w:rPr>
          <w:rFonts w:hint="eastAsia" w:asciiTheme="minorEastAsia" w:hAnsiTheme="minorEastAsia" w:eastAsiaTheme="minorEastAsia" w:cstheme="minorEastAsia"/>
          <w:color w:val="auto"/>
          <w:sz w:val="24"/>
          <w:szCs w:val="20"/>
          <w:highlight w:val="none"/>
          <w:lang w:val="en-US" w:eastAsia="zh-CN"/>
        </w:rPr>
        <w:t>9</w:t>
      </w:r>
      <w:r>
        <w:rPr>
          <w:rFonts w:hint="eastAsia" w:asciiTheme="minorEastAsia" w:hAnsiTheme="minorEastAsia" w:eastAsiaTheme="minorEastAsia" w:cstheme="minorEastAsia"/>
          <w:color w:val="auto"/>
          <w:sz w:val="24"/>
          <w:szCs w:val="20"/>
          <w:highlight w:val="none"/>
        </w:rPr>
        <w:t>）被税务机关列入重大税收违法失信主体名单</w:t>
      </w:r>
      <w:r>
        <w:rPr>
          <w:rFonts w:hint="eastAsia" w:asciiTheme="minorEastAsia" w:hAnsiTheme="minorEastAsia" w:eastAsiaTheme="minorEastAsia" w:cstheme="minorEastAsia"/>
          <w:color w:val="auto"/>
          <w:sz w:val="24"/>
          <w:szCs w:val="20"/>
          <w:highlight w:val="none"/>
          <w:lang w:eastAsia="zh-CN"/>
        </w:rPr>
        <w:t>；</w:t>
      </w:r>
    </w:p>
    <w:p w14:paraId="3EB87086">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lang w:eastAsia="zh-CN"/>
        </w:rPr>
      </w:pPr>
      <w:r>
        <w:rPr>
          <w:rFonts w:hint="eastAsia" w:asciiTheme="minorEastAsia" w:hAnsiTheme="minorEastAsia" w:eastAsiaTheme="minorEastAsia" w:cstheme="minorEastAsia"/>
          <w:color w:val="auto"/>
          <w:sz w:val="24"/>
          <w:szCs w:val="20"/>
          <w:highlight w:val="none"/>
        </w:rPr>
        <w:t>（</w:t>
      </w:r>
      <w:r>
        <w:rPr>
          <w:rFonts w:hint="eastAsia" w:asciiTheme="minorEastAsia" w:hAnsiTheme="minorEastAsia" w:eastAsiaTheme="minorEastAsia" w:cstheme="minorEastAsia"/>
          <w:color w:val="auto"/>
          <w:sz w:val="24"/>
          <w:szCs w:val="20"/>
          <w:highlight w:val="none"/>
          <w:lang w:val="en-US" w:eastAsia="zh-CN"/>
        </w:rPr>
        <w:t>10</w:t>
      </w:r>
      <w:r>
        <w:rPr>
          <w:rFonts w:hint="eastAsia" w:asciiTheme="minorEastAsia" w:hAnsiTheme="minorEastAsia" w:eastAsiaTheme="minorEastAsia" w:cstheme="minorEastAsia"/>
          <w:color w:val="auto"/>
          <w:sz w:val="24"/>
          <w:szCs w:val="20"/>
          <w:highlight w:val="none"/>
        </w:rPr>
        <w:t>）被财政部门列入政府采购严重违法失信行为记录名单</w:t>
      </w:r>
      <w:r>
        <w:rPr>
          <w:rFonts w:hint="eastAsia" w:asciiTheme="minorEastAsia" w:hAnsiTheme="minorEastAsia" w:eastAsiaTheme="minorEastAsia" w:cstheme="minorEastAsia"/>
          <w:color w:val="auto"/>
          <w:sz w:val="24"/>
          <w:szCs w:val="20"/>
          <w:highlight w:val="none"/>
          <w:lang w:eastAsia="zh-CN"/>
        </w:rPr>
        <w:t>；</w:t>
      </w:r>
    </w:p>
    <w:p w14:paraId="0F23744C">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lang w:eastAsia="zh-CN"/>
        </w:rPr>
      </w:pPr>
      <w:r>
        <w:rPr>
          <w:rFonts w:hint="eastAsia" w:asciiTheme="minorEastAsia" w:hAnsiTheme="minorEastAsia" w:eastAsiaTheme="minorEastAsia" w:cstheme="minorEastAsia"/>
          <w:color w:val="auto"/>
          <w:sz w:val="24"/>
          <w:szCs w:val="20"/>
          <w:highlight w:val="none"/>
        </w:rPr>
        <w:t>（</w:t>
      </w:r>
      <w:r>
        <w:rPr>
          <w:rFonts w:hint="eastAsia" w:asciiTheme="minorEastAsia" w:hAnsiTheme="minorEastAsia" w:eastAsiaTheme="minorEastAsia" w:cstheme="minorEastAsia"/>
          <w:color w:val="auto"/>
          <w:sz w:val="24"/>
          <w:szCs w:val="20"/>
          <w:highlight w:val="none"/>
          <w:lang w:val="en-US" w:eastAsia="zh-CN"/>
        </w:rPr>
        <w:t>11</w:t>
      </w:r>
      <w:r>
        <w:rPr>
          <w:rFonts w:hint="eastAsia" w:asciiTheme="minorEastAsia" w:hAnsiTheme="minorEastAsia" w:eastAsiaTheme="minorEastAsia" w:cstheme="minorEastAsia"/>
          <w:color w:val="auto"/>
          <w:sz w:val="24"/>
          <w:szCs w:val="20"/>
          <w:highlight w:val="none"/>
        </w:rPr>
        <w:t>）被市场监督管理部门列入严重违法失信名单</w:t>
      </w:r>
      <w:r>
        <w:rPr>
          <w:rFonts w:hint="eastAsia" w:asciiTheme="minorEastAsia" w:hAnsiTheme="minorEastAsia" w:eastAsiaTheme="minorEastAsia" w:cstheme="minorEastAsia"/>
          <w:color w:val="auto"/>
          <w:sz w:val="24"/>
          <w:szCs w:val="20"/>
          <w:highlight w:val="none"/>
          <w:lang w:eastAsia="zh-CN"/>
        </w:rPr>
        <w:t>；</w:t>
      </w:r>
    </w:p>
    <w:p w14:paraId="58FAE9B2">
      <w:pPr>
        <w:pageBreakBefore w:val="0"/>
        <w:widowControl/>
        <w:kinsoku/>
        <w:overflowPunct/>
        <w:topLinePunct w:val="0"/>
        <w:bidi w:val="0"/>
        <w:adjustRightInd/>
        <w:snapToGrid/>
        <w:spacing w:line="360" w:lineRule="auto"/>
        <w:ind w:left="0" w:leftChars="0" w:right="0" w:rightChars="0" w:firstLine="435" w:firstLineChars="0"/>
        <w:jc w:val="left"/>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（1</w:t>
      </w:r>
      <w:r>
        <w:rPr>
          <w:rFonts w:hint="eastAsia" w:asciiTheme="minorEastAsia" w:hAnsiTheme="minorEastAsia" w:eastAsiaTheme="minorEastAsia" w:cstheme="minorEastAsia"/>
          <w:color w:val="auto"/>
          <w:sz w:val="24"/>
          <w:szCs w:val="20"/>
          <w:highlight w:val="none"/>
          <w:lang w:val="en-US" w:eastAsia="zh-CN"/>
        </w:rPr>
        <w:t>2</w:t>
      </w:r>
      <w:r>
        <w:rPr>
          <w:rFonts w:hint="eastAsia" w:asciiTheme="minorEastAsia" w:hAnsiTheme="minorEastAsia" w:eastAsiaTheme="minorEastAsia" w:cstheme="minorEastAsia"/>
          <w:color w:val="auto"/>
          <w:sz w:val="24"/>
          <w:szCs w:val="20"/>
          <w:highlight w:val="none"/>
        </w:rPr>
        <w:t>）法律法规规定的其他情形；</w:t>
      </w:r>
    </w:p>
    <w:p w14:paraId="7C4707A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（1</w:t>
      </w:r>
      <w:r>
        <w:rPr>
          <w:rFonts w:hint="eastAsia" w:asciiTheme="minorEastAsia" w:hAnsiTheme="minorEastAsia" w:eastAsiaTheme="minorEastAsia" w:cstheme="minorEastAsia"/>
          <w:color w:val="auto"/>
          <w:sz w:val="24"/>
          <w:szCs w:val="20"/>
          <w:highlight w:val="none"/>
          <w:lang w:val="en-US" w:eastAsia="zh-CN"/>
        </w:rPr>
        <w:t>3</w:t>
      </w:r>
      <w:r>
        <w:rPr>
          <w:rFonts w:hint="eastAsia" w:asciiTheme="minorEastAsia" w:hAnsiTheme="minorEastAsia" w:eastAsiaTheme="minorEastAsia" w:cstheme="minorEastAsia"/>
          <w:color w:val="auto"/>
          <w:sz w:val="24"/>
          <w:szCs w:val="20"/>
          <w:highlight w:val="none"/>
        </w:rPr>
        <w:t>）</w:t>
      </w:r>
      <w:r>
        <w:rPr>
          <w:rFonts w:hint="eastAsia" w:asciiTheme="minorEastAsia" w:hAnsiTheme="minorEastAsia" w:eastAsiaTheme="minorEastAsia" w:cstheme="minorEastAsia"/>
          <w:color w:val="auto"/>
          <w:sz w:val="24"/>
          <w:szCs w:val="20"/>
          <w:highlight w:val="none"/>
          <w:lang w:eastAsia="zh-CN"/>
        </w:rPr>
        <w:t>投标人须知</w:t>
      </w:r>
      <w:r>
        <w:rPr>
          <w:rFonts w:hint="eastAsia" w:asciiTheme="minorEastAsia" w:hAnsiTheme="minorEastAsia" w:eastAsiaTheme="minorEastAsia" w:cstheme="minorEastAsia"/>
          <w:color w:val="auto"/>
          <w:sz w:val="24"/>
          <w:szCs w:val="20"/>
          <w:highlight w:val="none"/>
        </w:rPr>
        <w:t>前附表规定的其他情形。</w:t>
      </w:r>
    </w:p>
    <w:p w14:paraId="49B8724A">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本单位对上述声明的真实性负责。如有虚假，将依法承担相应责任。</w:t>
      </w:r>
    </w:p>
    <w:p w14:paraId="28DB978D">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投标人签章：</w:t>
      </w:r>
      <w:r>
        <w:rPr>
          <w:rFonts w:hint="eastAsia" w:asciiTheme="minorEastAsia" w:hAnsiTheme="minorEastAsia" w:eastAsiaTheme="minorEastAsia" w:cstheme="minorEastAsia"/>
          <w:color w:val="auto"/>
          <w:sz w:val="24"/>
          <w:highlight w:val="none"/>
          <w:u w:val="single"/>
        </w:rPr>
        <w:t xml:space="preserve">             </w:t>
      </w:r>
    </w:p>
    <w:p w14:paraId="6937AFB2">
      <w:pPr>
        <w:pageBreakBefore w:val="0"/>
        <w:tabs>
          <w:tab w:val="left" w:pos="630"/>
        </w:tabs>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70EB2CB5">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color w:val="auto"/>
          <w:sz w:val="24"/>
          <w:highlight w:val="none"/>
        </w:rPr>
      </w:pPr>
      <w:bookmarkStart w:id="318" w:name="_Toc11607"/>
      <w:r>
        <w:rPr>
          <w:rFonts w:hint="eastAsia" w:asciiTheme="minorEastAsia" w:hAnsiTheme="minorEastAsia" w:eastAsiaTheme="minorEastAsia" w:cstheme="minorEastAsia"/>
          <w:b/>
          <w:color w:val="auto"/>
          <w:sz w:val="24"/>
          <w:highlight w:val="none"/>
        </w:rPr>
        <w:br w:type="page"/>
      </w:r>
    </w:p>
    <w:bookmarkEnd w:id="318"/>
    <w:p w14:paraId="2738FF69">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rPr>
      </w:pPr>
      <w:bookmarkStart w:id="319" w:name="_Toc19315"/>
      <w:bookmarkStart w:id="320" w:name="_Toc24583"/>
      <w:bookmarkStart w:id="321" w:name="_Toc20329"/>
      <w:bookmarkStart w:id="322" w:name="_Toc11759"/>
      <w:bookmarkStart w:id="323" w:name="_Toc15209"/>
      <w:r>
        <w:rPr>
          <w:rFonts w:hint="eastAsia" w:asciiTheme="minorEastAsia" w:hAnsiTheme="minorEastAsia" w:eastAsiaTheme="minorEastAsia" w:cstheme="minorEastAsia"/>
          <w:b/>
          <w:color w:val="auto"/>
          <w:sz w:val="24"/>
          <w:highlight w:val="none"/>
        </w:rPr>
        <w:t>四、授权书</w:t>
      </w:r>
      <w:bookmarkEnd w:id="319"/>
      <w:bookmarkEnd w:id="320"/>
    </w:p>
    <w:p w14:paraId="04419C8C">
      <w:pPr>
        <w:pStyle w:val="7"/>
        <w:pageBreakBefore w:val="0"/>
        <w:kinsoku/>
        <w:overflowPunct/>
        <w:topLinePunct w:val="0"/>
        <w:bidi w:val="0"/>
        <w:snapToGrid w:val="0"/>
        <w:spacing w:line="360" w:lineRule="auto"/>
        <w:ind w:left="0" w:leftChars="0" w:right="0" w:rightChars="0" w:firstLine="480" w:firstLineChars="200"/>
        <w:jc w:val="left"/>
        <w:textAlignment w:val="auto"/>
        <w:rPr>
          <w:rFonts w:hint="eastAsia" w:asciiTheme="minorEastAsia" w:hAnsiTheme="minorEastAsia" w:eastAsiaTheme="minorEastAsia" w:cstheme="minorEastAsia"/>
          <w:color w:val="auto"/>
          <w:sz w:val="24"/>
          <w:szCs w:val="28"/>
          <w:highlight w:val="none"/>
        </w:rPr>
      </w:pPr>
    </w:p>
    <w:p w14:paraId="3A146E97">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本</w:t>
      </w:r>
      <w:r>
        <w:rPr>
          <w:rFonts w:hint="eastAsia" w:asciiTheme="minorEastAsia" w:hAnsiTheme="minorEastAsia" w:eastAsiaTheme="minorEastAsia" w:cstheme="minorEastAsia"/>
          <w:color w:val="auto"/>
          <w:sz w:val="24"/>
          <w:highlight w:val="none"/>
        </w:rPr>
        <w:t>授权</w:t>
      </w:r>
      <w:r>
        <w:rPr>
          <w:rFonts w:hint="eastAsia" w:asciiTheme="minorEastAsia" w:hAnsiTheme="minorEastAsia" w:eastAsiaTheme="minorEastAsia" w:cstheme="minorEastAsia"/>
          <w:color w:val="auto"/>
          <w:sz w:val="24"/>
          <w:szCs w:val="28"/>
          <w:highlight w:val="none"/>
        </w:rPr>
        <w:t>书声明：</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（投标人名称）授权</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（投标人授权代表姓名）代表我方参加本项目</w:t>
      </w:r>
      <w:r>
        <w:rPr>
          <w:rFonts w:hint="eastAsia" w:asciiTheme="minorEastAsia" w:hAnsiTheme="minorEastAsia" w:eastAsiaTheme="minorEastAsia" w:cstheme="minorEastAsia"/>
          <w:bCs/>
          <w:color w:val="auto"/>
          <w:sz w:val="24"/>
          <w:szCs w:val="28"/>
          <w:highlight w:val="none"/>
        </w:rPr>
        <w:t>采购活动</w:t>
      </w:r>
      <w:r>
        <w:rPr>
          <w:rFonts w:hint="eastAsia" w:asciiTheme="minorEastAsia" w:hAnsiTheme="minorEastAsia" w:eastAsiaTheme="minorEastAsia" w:cstheme="minorEastAsia"/>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AA95FF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本授权书自出具之日起生效。</w:t>
      </w:r>
    </w:p>
    <w:p w14:paraId="054742B3">
      <w:pPr>
        <w:pageBreakBefore w:val="0"/>
        <w:kinsoku/>
        <w:wordWrap/>
        <w:overflowPunct/>
        <w:topLinePunct w:val="0"/>
        <w:bidi w:val="0"/>
        <w:spacing w:line="360" w:lineRule="auto"/>
        <w:ind w:left="0" w:leftChars="0" w:right="0" w:rightChars="0" w:firstLine="435"/>
        <w:textAlignment w:val="auto"/>
        <w:outlineLvl w:val="9"/>
        <w:rPr>
          <w:rFonts w:hint="eastAsia" w:asciiTheme="minorEastAsia" w:hAnsiTheme="minorEastAsia" w:eastAsiaTheme="minorEastAsia" w:cstheme="minorEastAsia"/>
          <w:color w:val="auto"/>
          <w:sz w:val="24"/>
          <w:szCs w:val="28"/>
          <w:highlight w:val="none"/>
          <w:lang w:val="en-US" w:eastAsia="zh-CN"/>
        </w:rPr>
      </w:pPr>
      <w:r>
        <w:rPr>
          <w:rFonts w:hint="eastAsia" w:asciiTheme="minorEastAsia" w:hAnsiTheme="minorEastAsia" w:eastAsiaTheme="minorEastAsia" w:cstheme="minorEastAsia"/>
          <w:color w:val="auto"/>
          <w:sz w:val="24"/>
          <w:szCs w:val="28"/>
          <w:highlight w:val="none"/>
          <w:lang w:val="en-US" w:eastAsia="zh-CN"/>
        </w:rPr>
        <w:t>法定代表人身份证正反面扫描件：</w:t>
      </w:r>
    </w:p>
    <w:p w14:paraId="2E695804">
      <w:pPr>
        <w:pStyle w:val="5"/>
        <w:rPr>
          <w:rFonts w:hint="eastAsia" w:asciiTheme="minorEastAsia" w:hAnsiTheme="minorEastAsia" w:eastAsiaTheme="minorEastAsia" w:cstheme="minorEastAsia"/>
          <w:color w:val="auto"/>
          <w:sz w:val="24"/>
          <w:szCs w:val="28"/>
          <w:highlight w:val="none"/>
          <w:lang w:val="en-US" w:eastAsia="zh-CN"/>
        </w:rPr>
      </w:pPr>
    </w:p>
    <w:p w14:paraId="1B603944">
      <w:pPr>
        <w:pStyle w:val="5"/>
        <w:rPr>
          <w:rFonts w:hint="eastAsia" w:asciiTheme="minorEastAsia" w:hAnsiTheme="minorEastAsia" w:eastAsiaTheme="minorEastAsia" w:cstheme="minorEastAsia"/>
          <w:color w:val="auto"/>
          <w:sz w:val="24"/>
          <w:szCs w:val="28"/>
          <w:highlight w:val="none"/>
          <w:lang w:val="en-US" w:eastAsia="zh-CN"/>
        </w:rPr>
      </w:pPr>
    </w:p>
    <w:p w14:paraId="12F05913">
      <w:pPr>
        <w:pStyle w:val="5"/>
        <w:rPr>
          <w:rFonts w:hint="default" w:asciiTheme="minorEastAsia" w:hAnsiTheme="minorEastAsia" w:eastAsiaTheme="minorEastAsia" w:cstheme="minorEastAsia"/>
          <w:color w:val="auto"/>
          <w:sz w:val="24"/>
          <w:szCs w:val="28"/>
          <w:highlight w:val="none"/>
          <w:lang w:val="en-US" w:eastAsia="zh-CN"/>
        </w:rPr>
      </w:pPr>
    </w:p>
    <w:p w14:paraId="70FB00FB">
      <w:pPr>
        <w:pageBreakBefore w:val="0"/>
        <w:kinsoku/>
        <w:wordWrap/>
        <w:overflowPunct/>
        <w:topLinePunct w:val="0"/>
        <w:bidi w:val="0"/>
        <w:spacing w:line="360" w:lineRule="auto"/>
        <w:ind w:left="0" w:leftChars="0" w:right="0" w:rightChars="0" w:firstLine="435"/>
        <w:textAlignment w:val="auto"/>
        <w:outlineLvl w:val="9"/>
        <w:rPr>
          <w:rFonts w:hint="eastAsia" w:asciiTheme="minorEastAsia" w:hAnsiTheme="minorEastAsia" w:eastAsiaTheme="minorEastAsia" w:cstheme="minorEastAsia"/>
          <w:color w:val="auto"/>
          <w:sz w:val="24"/>
          <w:szCs w:val="28"/>
          <w:highlight w:val="none"/>
        </w:rPr>
      </w:pPr>
    </w:p>
    <w:p w14:paraId="416548B3">
      <w:pPr>
        <w:pageBreakBefore w:val="0"/>
        <w:kinsoku/>
        <w:wordWrap/>
        <w:overflowPunct/>
        <w:topLinePunct w:val="0"/>
        <w:bidi w:val="0"/>
        <w:spacing w:line="360" w:lineRule="auto"/>
        <w:ind w:left="0" w:leftChars="0" w:right="0" w:rightChars="0" w:firstLine="435"/>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8"/>
          <w:highlight w:val="none"/>
        </w:rPr>
        <w:t>授权</w:t>
      </w:r>
      <w:r>
        <w:rPr>
          <w:rFonts w:hint="eastAsia" w:asciiTheme="minorEastAsia" w:hAnsiTheme="minorEastAsia" w:eastAsiaTheme="minorEastAsia" w:cstheme="minorEastAsia"/>
          <w:color w:val="auto"/>
          <w:sz w:val="24"/>
          <w:highlight w:val="none"/>
        </w:rPr>
        <w:t>代表身份证</w:t>
      </w:r>
      <w:r>
        <w:rPr>
          <w:rFonts w:hint="eastAsia" w:asciiTheme="minorEastAsia" w:hAnsiTheme="minorEastAsia" w:eastAsiaTheme="minorEastAsia" w:cstheme="minorEastAsia"/>
          <w:color w:val="auto"/>
          <w:sz w:val="24"/>
          <w:szCs w:val="28"/>
          <w:highlight w:val="none"/>
          <w:lang w:val="en-US" w:eastAsia="zh-CN"/>
        </w:rPr>
        <w:t>正反面</w:t>
      </w:r>
      <w:r>
        <w:rPr>
          <w:rFonts w:hint="eastAsia" w:asciiTheme="minorEastAsia" w:hAnsiTheme="minorEastAsia" w:eastAsiaTheme="minorEastAsia" w:cstheme="minorEastAsia"/>
          <w:color w:val="auto"/>
          <w:sz w:val="24"/>
          <w:highlight w:val="none"/>
          <w:lang w:eastAsia="zh-CN"/>
        </w:rPr>
        <w:t>扫描件</w:t>
      </w:r>
      <w:r>
        <w:rPr>
          <w:rFonts w:hint="eastAsia" w:asciiTheme="minorEastAsia" w:hAnsiTheme="minorEastAsia" w:eastAsiaTheme="minorEastAsia" w:cstheme="minorEastAsia"/>
          <w:color w:val="auto"/>
          <w:sz w:val="24"/>
          <w:highlight w:val="none"/>
        </w:rPr>
        <w:t>：</w:t>
      </w:r>
    </w:p>
    <w:p w14:paraId="07128338">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p>
    <w:p w14:paraId="399CBB29">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p>
    <w:p w14:paraId="533D7E9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p>
    <w:p w14:paraId="60BB4082">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p>
    <w:p w14:paraId="0A24441C">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8"/>
          <w:highlight w:val="none"/>
          <w:u w:val="single"/>
          <w:lang w:val="zh-CN"/>
        </w:rPr>
      </w:pPr>
      <w:r>
        <w:rPr>
          <w:rFonts w:hint="eastAsia" w:asciiTheme="minorEastAsia" w:hAnsiTheme="minorEastAsia" w:eastAsiaTheme="minorEastAsia" w:cstheme="minorEastAsia"/>
          <w:color w:val="auto"/>
          <w:sz w:val="24"/>
          <w:szCs w:val="28"/>
          <w:highlight w:val="none"/>
        </w:rPr>
        <w:t>授权代表联系方式：</w:t>
      </w:r>
      <w:r>
        <w:rPr>
          <w:rFonts w:hint="eastAsia" w:asciiTheme="minorEastAsia" w:hAnsiTheme="minorEastAsia" w:eastAsiaTheme="minorEastAsia" w:cstheme="minorEastAsia"/>
          <w:color w:val="auto"/>
          <w:sz w:val="24"/>
          <w:szCs w:val="28"/>
          <w:highlight w:val="none"/>
          <w:u w:val="single"/>
        </w:rPr>
        <w:t xml:space="preserve">          （请填写手机号码）</w:t>
      </w:r>
    </w:p>
    <w:p w14:paraId="3F7F491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8"/>
          <w:highlight w:val="none"/>
          <w:lang w:val="zh-CN"/>
        </w:rPr>
      </w:pPr>
    </w:p>
    <w:p w14:paraId="7FFEE80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highlight w:val="none"/>
        </w:rPr>
        <w:t>特此</w:t>
      </w:r>
      <w:r>
        <w:rPr>
          <w:rFonts w:hint="eastAsia" w:asciiTheme="minorEastAsia" w:hAnsiTheme="minorEastAsia" w:eastAsiaTheme="minorEastAsia" w:cstheme="minorEastAsia"/>
          <w:color w:val="auto"/>
          <w:sz w:val="24"/>
          <w:szCs w:val="28"/>
          <w:highlight w:val="none"/>
        </w:rPr>
        <w:t>声明。</w:t>
      </w:r>
    </w:p>
    <w:p w14:paraId="72046801">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8"/>
          <w:highlight w:val="none"/>
        </w:rPr>
      </w:pPr>
    </w:p>
    <w:p w14:paraId="065EF221">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投标人签章：</w:t>
      </w:r>
      <w:r>
        <w:rPr>
          <w:rFonts w:hint="eastAsia" w:asciiTheme="minorEastAsia" w:hAnsiTheme="minorEastAsia" w:eastAsiaTheme="minorEastAsia" w:cstheme="minorEastAsia"/>
          <w:color w:val="auto"/>
          <w:sz w:val="24"/>
          <w:highlight w:val="none"/>
          <w:u w:val="single"/>
        </w:rPr>
        <w:t xml:space="preserve">             </w:t>
      </w:r>
    </w:p>
    <w:p w14:paraId="22C6D68E">
      <w:pPr>
        <w:pageBreakBefore w:val="0"/>
        <w:tabs>
          <w:tab w:val="left" w:pos="630"/>
        </w:tabs>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76687C3F">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14:paraId="1E9C41CA">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1.本项目只允许有唯一的</w:t>
      </w:r>
      <w:r>
        <w:rPr>
          <w:rFonts w:hint="eastAsia" w:ascii="宋体" w:hAnsi="宋体" w:eastAsia="宋体" w:cs="宋体"/>
          <w:color w:val="auto"/>
          <w:sz w:val="24"/>
          <w:highlight w:val="none"/>
          <w:lang w:val="en-US" w:eastAsia="zh-CN"/>
        </w:rPr>
        <w:t>供应商</w:t>
      </w:r>
      <w:r>
        <w:rPr>
          <w:rFonts w:hint="eastAsia" w:ascii="宋体" w:hAnsi="宋体" w:eastAsia="宋体" w:cs="宋体"/>
          <w:color w:val="auto"/>
          <w:sz w:val="24"/>
          <w:highlight w:val="none"/>
        </w:rPr>
        <w:t>授权代表，提供</w:t>
      </w:r>
      <w:r>
        <w:rPr>
          <w:rFonts w:hint="eastAsia" w:ascii="宋体" w:hAnsi="宋体" w:eastAsia="宋体" w:cs="宋体"/>
          <w:color w:val="auto"/>
          <w:sz w:val="24"/>
          <w:highlight w:val="none"/>
          <w:lang w:val="en-US" w:eastAsia="zh-CN"/>
        </w:rPr>
        <w:t>本授权书</w:t>
      </w:r>
      <w:r>
        <w:rPr>
          <w:rFonts w:hint="eastAsia" w:ascii="宋体" w:hAnsi="宋体" w:eastAsia="宋体" w:cs="宋体"/>
          <w:color w:val="auto"/>
          <w:sz w:val="24"/>
          <w:highlight w:val="none"/>
        </w:rPr>
        <w:t>；</w:t>
      </w:r>
    </w:p>
    <w:p w14:paraId="2703D18B">
      <w:pPr>
        <w:spacing w:line="360" w:lineRule="auto"/>
        <w:jc w:val="left"/>
        <w:rPr>
          <w:rFonts w:ascii="宋体" w:hAnsi="宋体" w:eastAsia="宋体" w:cs="宋体"/>
          <w:b/>
          <w:color w:val="auto"/>
          <w:sz w:val="24"/>
          <w:highlight w:val="none"/>
        </w:rPr>
      </w:pPr>
      <w:r>
        <w:rPr>
          <w:rFonts w:hint="eastAsia" w:ascii="宋体" w:hAnsi="宋体" w:eastAsia="宋体" w:cs="宋体"/>
          <w:color w:val="auto"/>
          <w:sz w:val="24"/>
          <w:highlight w:val="none"/>
        </w:rPr>
        <w:t>2.法定代表人参加</w:t>
      </w:r>
      <w:r>
        <w:rPr>
          <w:rFonts w:hint="eastAsia" w:ascii="宋体" w:hAnsi="宋体" w:eastAsia="宋体" w:cs="宋体"/>
          <w:color w:val="auto"/>
          <w:sz w:val="24"/>
          <w:highlight w:val="none"/>
          <w:lang w:val="en-US" w:eastAsia="zh-CN"/>
        </w:rPr>
        <w:t>投标</w:t>
      </w:r>
      <w:r>
        <w:rPr>
          <w:rFonts w:hint="eastAsia" w:ascii="宋体" w:hAnsi="宋体" w:eastAsia="宋体" w:cs="宋体"/>
          <w:color w:val="auto"/>
          <w:sz w:val="24"/>
          <w:highlight w:val="none"/>
        </w:rPr>
        <w:t>的无需提供授权书，</w:t>
      </w:r>
      <w:r>
        <w:rPr>
          <w:rFonts w:hint="eastAsia" w:ascii="宋体" w:hAnsi="宋体" w:eastAsia="宋体" w:cs="宋体"/>
          <w:i w:val="0"/>
          <w:iCs w:val="0"/>
          <w:color w:val="auto"/>
          <w:sz w:val="24"/>
          <w:highlight w:val="none"/>
        </w:rPr>
        <w:t>提供身份证</w:t>
      </w:r>
      <w:r>
        <w:rPr>
          <w:rFonts w:hint="eastAsia" w:ascii="宋体" w:hAnsi="宋体" w:eastAsia="宋体" w:cs="宋体"/>
          <w:i w:val="0"/>
          <w:iCs w:val="0"/>
          <w:color w:val="auto"/>
          <w:sz w:val="24"/>
          <w:highlight w:val="none"/>
          <w:lang w:val="en-US" w:eastAsia="zh-CN"/>
        </w:rPr>
        <w:t>正反面</w:t>
      </w:r>
      <w:r>
        <w:rPr>
          <w:rFonts w:hint="eastAsia" w:ascii="宋体" w:hAnsi="宋体" w:eastAsia="宋体" w:cs="宋体"/>
          <w:i w:val="0"/>
          <w:iCs w:val="0"/>
          <w:color w:val="auto"/>
          <w:sz w:val="24"/>
          <w:highlight w:val="none"/>
          <w:lang w:eastAsia="zh-CN"/>
        </w:rPr>
        <w:t>复制件</w:t>
      </w:r>
      <w:r>
        <w:rPr>
          <w:rFonts w:hint="eastAsia" w:ascii="宋体" w:hAnsi="宋体" w:eastAsia="宋体" w:cs="宋体"/>
          <w:i w:val="0"/>
          <w:iCs w:val="0"/>
          <w:color w:val="auto"/>
          <w:sz w:val="24"/>
          <w:highlight w:val="none"/>
          <w:lang w:val="en-US" w:eastAsia="zh-CN"/>
        </w:rPr>
        <w:t>及联系手机号码即可</w:t>
      </w:r>
      <w:r>
        <w:rPr>
          <w:rFonts w:hint="eastAsia" w:ascii="宋体" w:hAnsi="宋体" w:eastAsia="宋体" w:cs="宋体"/>
          <w:color w:val="auto"/>
          <w:sz w:val="24"/>
          <w:highlight w:val="none"/>
        </w:rPr>
        <w:t>。</w:t>
      </w:r>
    </w:p>
    <w:p w14:paraId="6A2E9FE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p>
    <w:p w14:paraId="69D32048">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p w14:paraId="0577D1D3">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rPr>
      </w:pPr>
      <w:bookmarkStart w:id="324" w:name="_Toc29672"/>
      <w:bookmarkStart w:id="325" w:name="_Toc31027"/>
      <w:bookmarkStart w:id="326" w:name="_Toc32226"/>
      <w:r>
        <w:rPr>
          <w:rFonts w:hint="eastAsia" w:asciiTheme="minorEastAsia" w:hAnsiTheme="minorEastAsia" w:eastAsiaTheme="minorEastAsia" w:cstheme="minorEastAsia"/>
          <w:b/>
          <w:color w:val="auto"/>
          <w:sz w:val="24"/>
          <w:highlight w:val="none"/>
        </w:rPr>
        <w:t>五、投标分项报价表</w:t>
      </w:r>
      <w:bookmarkEnd w:id="324"/>
      <w:bookmarkEnd w:id="325"/>
      <w:bookmarkEnd w:id="326"/>
    </w:p>
    <w:p w14:paraId="7BFA8A4B">
      <w:pPr>
        <w:pStyle w:val="23"/>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5-1货物部分（如有）</w:t>
      </w:r>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442"/>
        <w:gridCol w:w="1434"/>
        <w:gridCol w:w="1434"/>
        <w:gridCol w:w="732"/>
        <w:gridCol w:w="732"/>
        <w:gridCol w:w="1024"/>
        <w:gridCol w:w="1024"/>
        <w:gridCol w:w="73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20"/>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7761E195">
            <w:pPr>
              <w:rPr>
                <w:rFonts w:ascii="宋体" w:hAnsi="宋体" w:eastAsia="宋体"/>
                <w:color w:val="auto"/>
                <w:sz w:val="24"/>
                <w:highlight w:val="none"/>
              </w:rPr>
            </w:pPr>
          </w:p>
        </w:tc>
        <w:tc>
          <w:tcPr>
            <w:tcW w:w="772" w:type="pct"/>
            <w:noWrap w:val="0"/>
            <w:vAlign w:val="top"/>
          </w:tcPr>
          <w:p w14:paraId="0375DE1C">
            <w:pPr>
              <w:rPr>
                <w:rFonts w:ascii="宋体" w:hAnsi="宋体" w:eastAsia="宋体"/>
                <w:color w:val="auto"/>
                <w:sz w:val="24"/>
                <w:highlight w:val="none"/>
              </w:rPr>
            </w:pPr>
          </w:p>
        </w:tc>
        <w:tc>
          <w:tcPr>
            <w:tcW w:w="772" w:type="pct"/>
            <w:noWrap w:val="0"/>
            <w:vAlign w:val="top"/>
          </w:tcPr>
          <w:p w14:paraId="52FF1C92">
            <w:pPr>
              <w:rPr>
                <w:rFonts w:ascii="宋体" w:hAnsi="宋体" w:eastAsia="宋体"/>
                <w:color w:val="auto"/>
                <w:sz w:val="24"/>
                <w:highlight w:val="none"/>
              </w:rPr>
            </w:pPr>
          </w:p>
        </w:tc>
        <w:tc>
          <w:tcPr>
            <w:tcW w:w="394" w:type="pct"/>
            <w:noWrap w:val="0"/>
            <w:vAlign w:val="top"/>
          </w:tcPr>
          <w:p w14:paraId="7C01FFE9">
            <w:pPr>
              <w:rPr>
                <w:rFonts w:ascii="宋体" w:hAnsi="宋体" w:eastAsia="宋体"/>
                <w:color w:val="auto"/>
                <w:sz w:val="24"/>
                <w:highlight w:val="none"/>
              </w:rPr>
            </w:pPr>
          </w:p>
        </w:tc>
        <w:tc>
          <w:tcPr>
            <w:tcW w:w="394" w:type="pct"/>
            <w:noWrap w:val="0"/>
            <w:vAlign w:val="top"/>
          </w:tcPr>
          <w:p w14:paraId="4DE5AC10">
            <w:pPr>
              <w:rPr>
                <w:rFonts w:ascii="宋体" w:hAnsi="宋体" w:eastAsia="宋体"/>
                <w:color w:val="auto"/>
                <w:sz w:val="24"/>
                <w:highlight w:val="none"/>
              </w:rPr>
            </w:pP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1C5F27B4">
            <w:pPr>
              <w:rPr>
                <w:rFonts w:ascii="宋体" w:hAnsi="宋体" w:eastAsia="宋体"/>
                <w:color w:val="auto"/>
                <w:sz w:val="24"/>
                <w:highlight w:val="none"/>
              </w:rPr>
            </w:pPr>
          </w:p>
        </w:tc>
        <w:tc>
          <w:tcPr>
            <w:tcW w:w="772" w:type="pct"/>
            <w:noWrap w:val="0"/>
            <w:vAlign w:val="top"/>
          </w:tcPr>
          <w:p w14:paraId="439F3115">
            <w:pPr>
              <w:rPr>
                <w:rFonts w:ascii="宋体" w:hAnsi="宋体" w:eastAsia="宋体"/>
                <w:color w:val="auto"/>
                <w:sz w:val="24"/>
                <w:highlight w:val="none"/>
              </w:rPr>
            </w:pPr>
          </w:p>
        </w:tc>
        <w:tc>
          <w:tcPr>
            <w:tcW w:w="772" w:type="pct"/>
            <w:noWrap w:val="0"/>
            <w:vAlign w:val="top"/>
          </w:tcPr>
          <w:p w14:paraId="0B5EF6A2">
            <w:pPr>
              <w:rPr>
                <w:rFonts w:ascii="宋体" w:hAnsi="宋体" w:eastAsia="宋体"/>
                <w:color w:val="auto"/>
                <w:sz w:val="24"/>
                <w:highlight w:val="none"/>
              </w:rPr>
            </w:pPr>
          </w:p>
        </w:tc>
        <w:tc>
          <w:tcPr>
            <w:tcW w:w="394" w:type="pct"/>
            <w:noWrap w:val="0"/>
            <w:vAlign w:val="top"/>
          </w:tcPr>
          <w:p w14:paraId="66BA4716">
            <w:pPr>
              <w:rPr>
                <w:rFonts w:ascii="宋体" w:hAnsi="宋体" w:eastAsia="宋体"/>
                <w:color w:val="auto"/>
                <w:sz w:val="24"/>
                <w:highlight w:val="none"/>
              </w:rPr>
            </w:pPr>
          </w:p>
        </w:tc>
        <w:tc>
          <w:tcPr>
            <w:tcW w:w="394" w:type="pct"/>
            <w:noWrap w:val="0"/>
            <w:vAlign w:val="top"/>
          </w:tcPr>
          <w:p w14:paraId="4981F119">
            <w:pPr>
              <w:rPr>
                <w:rFonts w:ascii="宋体" w:hAnsi="宋体" w:eastAsia="宋体"/>
                <w:color w:val="auto"/>
                <w:sz w:val="24"/>
                <w:highlight w:val="none"/>
              </w:rPr>
            </w:pPr>
          </w:p>
        </w:tc>
        <w:tc>
          <w:tcPr>
            <w:tcW w:w="551" w:type="pct"/>
            <w:noWrap w:val="0"/>
            <w:vAlign w:val="top"/>
          </w:tcPr>
          <w:p w14:paraId="6A08DEBB">
            <w:pPr>
              <w:rPr>
                <w:rFonts w:ascii="宋体" w:hAnsi="宋体" w:eastAsia="宋体"/>
                <w:color w:val="auto"/>
                <w:sz w:val="24"/>
                <w:highlight w:val="none"/>
              </w:rPr>
            </w:pPr>
          </w:p>
        </w:tc>
        <w:tc>
          <w:tcPr>
            <w:tcW w:w="551" w:type="pct"/>
            <w:noWrap w:val="0"/>
            <w:vAlign w:val="top"/>
          </w:tcPr>
          <w:p w14:paraId="21EA39CE">
            <w:pPr>
              <w:rPr>
                <w:rFonts w:ascii="宋体" w:hAnsi="宋体" w:eastAsia="宋体"/>
                <w:color w:val="auto"/>
                <w:sz w:val="24"/>
                <w:highlight w:val="none"/>
              </w:rPr>
            </w:pPr>
          </w:p>
        </w:tc>
        <w:tc>
          <w:tcPr>
            <w:tcW w:w="393"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3F508895">
            <w:pPr>
              <w:rPr>
                <w:rFonts w:ascii="宋体" w:hAnsi="宋体" w:eastAsia="宋体"/>
                <w:color w:val="auto"/>
                <w:sz w:val="24"/>
                <w:highlight w:val="none"/>
              </w:rPr>
            </w:pPr>
          </w:p>
        </w:tc>
        <w:tc>
          <w:tcPr>
            <w:tcW w:w="772" w:type="pct"/>
            <w:noWrap w:val="0"/>
            <w:vAlign w:val="top"/>
          </w:tcPr>
          <w:p w14:paraId="20B310BD">
            <w:pPr>
              <w:rPr>
                <w:rFonts w:ascii="宋体" w:hAnsi="宋体" w:eastAsia="宋体"/>
                <w:color w:val="auto"/>
                <w:sz w:val="24"/>
                <w:highlight w:val="none"/>
              </w:rPr>
            </w:pPr>
          </w:p>
        </w:tc>
        <w:tc>
          <w:tcPr>
            <w:tcW w:w="772" w:type="pct"/>
            <w:noWrap w:val="0"/>
            <w:vAlign w:val="top"/>
          </w:tcPr>
          <w:p w14:paraId="09A7230D">
            <w:pPr>
              <w:rPr>
                <w:rFonts w:ascii="宋体" w:hAnsi="宋体" w:eastAsia="宋体"/>
                <w:color w:val="auto"/>
                <w:sz w:val="24"/>
                <w:highlight w:val="none"/>
              </w:rPr>
            </w:pPr>
          </w:p>
        </w:tc>
        <w:tc>
          <w:tcPr>
            <w:tcW w:w="394" w:type="pct"/>
            <w:noWrap w:val="0"/>
            <w:vAlign w:val="top"/>
          </w:tcPr>
          <w:p w14:paraId="275F91C4">
            <w:pPr>
              <w:rPr>
                <w:rFonts w:ascii="宋体" w:hAnsi="宋体" w:eastAsia="宋体"/>
                <w:color w:val="auto"/>
                <w:sz w:val="24"/>
                <w:highlight w:val="none"/>
              </w:rPr>
            </w:pPr>
          </w:p>
        </w:tc>
        <w:tc>
          <w:tcPr>
            <w:tcW w:w="394" w:type="pct"/>
            <w:noWrap w:val="0"/>
            <w:vAlign w:val="top"/>
          </w:tcPr>
          <w:p w14:paraId="6E9B5D37">
            <w:pPr>
              <w:rPr>
                <w:rFonts w:ascii="宋体" w:hAnsi="宋体" w:eastAsia="宋体"/>
                <w:color w:val="auto"/>
                <w:sz w:val="24"/>
                <w:highlight w:val="none"/>
              </w:rPr>
            </w:pPr>
          </w:p>
        </w:tc>
        <w:tc>
          <w:tcPr>
            <w:tcW w:w="551" w:type="pct"/>
            <w:noWrap w:val="0"/>
            <w:vAlign w:val="top"/>
          </w:tcPr>
          <w:p w14:paraId="7D351FDC">
            <w:pPr>
              <w:rPr>
                <w:rFonts w:ascii="宋体" w:hAnsi="宋体" w:eastAsia="宋体"/>
                <w:color w:val="auto"/>
                <w:sz w:val="24"/>
                <w:highlight w:val="none"/>
              </w:rPr>
            </w:pPr>
          </w:p>
        </w:tc>
        <w:tc>
          <w:tcPr>
            <w:tcW w:w="551" w:type="pct"/>
            <w:noWrap w:val="0"/>
            <w:vAlign w:val="top"/>
          </w:tcPr>
          <w:p w14:paraId="68D6AC0F">
            <w:pPr>
              <w:rPr>
                <w:rFonts w:ascii="宋体" w:hAnsi="宋体" w:eastAsia="宋体"/>
                <w:color w:val="auto"/>
                <w:sz w:val="24"/>
                <w:highlight w:val="none"/>
              </w:rPr>
            </w:pPr>
          </w:p>
        </w:tc>
        <w:tc>
          <w:tcPr>
            <w:tcW w:w="393" w:type="pct"/>
            <w:noWrap w:val="0"/>
            <w:vAlign w:val="top"/>
          </w:tcPr>
          <w:p w14:paraId="2EB92AF3">
            <w:pPr>
              <w:rPr>
                <w:rFonts w:ascii="宋体" w:hAnsi="宋体" w:eastAsia="宋体"/>
                <w:color w:val="auto"/>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52FDDD29">
            <w:pPr>
              <w:rPr>
                <w:rFonts w:ascii="宋体" w:hAnsi="宋体" w:eastAsia="宋体"/>
                <w:color w:val="auto"/>
                <w:sz w:val="24"/>
                <w:highlight w:val="none"/>
              </w:rPr>
            </w:pPr>
          </w:p>
        </w:tc>
        <w:tc>
          <w:tcPr>
            <w:tcW w:w="772" w:type="pct"/>
            <w:noWrap w:val="0"/>
            <w:vAlign w:val="top"/>
          </w:tcPr>
          <w:p w14:paraId="0F448206">
            <w:pPr>
              <w:rPr>
                <w:rFonts w:ascii="宋体" w:hAnsi="宋体" w:eastAsia="宋体"/>
                <w:color w:val="auto"/>
                <w:sz w:val="24"/>
                <w:highlight w:val="none"/>
              </w:rPr>
            </w:pPr>
          </w:p>
        </w:tc>
        <w:tc>
          <w:tcPr>
            <w:tcW w:w="772" w:type="pct"/>
            <w:noWrap w:val="0"/>
            <w:vAlign w:val="top"/>
          </w:tcPr>
          <w:p w14:paraId="6F4523F1">
            <w:pPr>
              <w:rPr>
                <w:rFonts w:ascii="宋体" w:hAnsi="宋体" w:eastAsia="宋体"/>
                <w:color w:val="auto"/>
                <w:sz w:val="24"/>
                <w:highlight w:val="none"/>
              </w:rPr>
            </w:pPr>
          </w:p>
        </w:tc>
        <w:tc>
          <w:tcPr>
            <w:tcW w:w="394" w:type="pct"/>
            <w:noWrap w:val="0"/>
            <w:vAlign w:val="top"/>
          </w:tcPr>
          <w:p w14:paraId="5713503A">
            <w:pPr>
              <w:rPr>
                <w:rFonts w:ascii="宋体" w:hAnsi="宋体" w:eastAsia="宋体"/>
                <w:color w:val="auto"/>
                <w:sz w:val="24"/>
                <w:highlight w:val="none"/>
              </w:rPr>
            </w:pPr>
          </w:p>
        </w:tc>
        <w:tc>
          <w:tcPr>
            <w:tcW w:w="394" w:type="pct"/>
            <w:noWrap w:val="0"/>
            <w:vAlign w:val="top"/>
          </w:tcPr>
          <w:p w14:paraId="44B66D33">
            <w:pPr>
              <w:rPr>
                <w:rFonts w:ascii="宋体" w:hAnsi="宋体" w:eastAsia="宋体"/>
                <w:color w:val="auto"/>
                <w:sz w:val="24"/>
                <w:highlight w:val="none"/>
              </w:rPr>
            </w:pPr>
          </w:p>
        </w:tc>
        <w:tc>
          <w:tcPr>
            <w:tcW w:w="551" w:type="pct"/>
            <w:noWrap w:val="0"/>
            <w:vAlign w:val="top"/>
          </w:tcPr>
          <w:p w14:paraId="4D3028A2">
            <w:pPr>
              <w:rPr>
                <w:rFonts w:ascii="宋体" w:hAnsi="宋体" w:eastAsia="宋体"/>
                <w:color w:val="auto"/>
                <w:sz w:val="24"/>
                <w:highlight w:val="none"/>
              </w:rPr>
            </w:pPr>
          </w:p>
        </w:tc>
        <w:tc>
          <w:tcPr>
            <w:tcW w:w="551" w:type="pct"/>
            <w:noWrap w:val="0"/>
            <w:vAlign w:val="top"/>
          </w:tcPr>
          <w:p w14:paraId="1790092E">
            <w:pPr>
              <w:rPr>
                <w:rFonts w:ascii="宋体" w:hAnsi="宋体" w:eastAsia="宋体"/>
                <w:color w:val="auto"/>
                <w:sz w:val="24"/>
                <w:highlight w:val="none"/>
              </w:rPr>
            </w:pPr>
          </w:p>
        </w:tc>
        <w:tc>
          <w:tcPr>
            <w:tcW w:w="393" w:type="pct"/>
            <w:noWrap w:val="0"/>
            <w:vAlign w:val="top"/>
          </w:tcPr>
          <w:p w14:paraId="578F6552">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5" w:type="pct"/>
            <w:gridSpan w:val="2"/>
            <w:noWrap w:val="0"/>
            <w:vAlign w:val="top"/>
          </w:tcPr>
          <w:p w14:paraId="559957D4">
            <w:pPr>
              <w:rPr>
                <w:rFonts w:ascii="宋体" w:hAnsi="宋体" w:eastAsia="宋体"/>
                <w:color w:val="auto"/>
                <w:sz w:val="24"/>
                <w:highlight w:val="none"/>
              </w:rPr>
            </w:pPr>
          </w:p>
        </w:tc>
      </w:tr>
    </w:tbl>
    <w:p w14:paraId="4C7090A7">
      <w:pPr>
        <w:pStyle w:val="23"/>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1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3388"/>
        <w:gridCol w:w="1479"/>
        <w:gridCol w:w="1850"/>
        <w:gridCol w:w="1707"/>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41878241">
      <w:pPr>
        <w:pStyle w:val="23"/>
        <w:jc w:val="left"/>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符合本国产品标准的产品成本之和占比（如有）</w:t>
      </w:r>
    </w:p>
    <w:tbl>
      <w:tblPr>
        <w:tblStyle w:val="16"/>
        <w:tblW w:w="9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7"/>
        <w:gridCol w:w="1732"/>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4" w:hRule="atLeast"/>
        </w:trPr>
        <w:tc>
          <w:tcPr>
            <w:tcW w:w="7627" w:type="dxa"/>
            <w:noWrap w:val="0"/>
            <w:vAlign w:val="top"/>
          </w:tcPr>
          <w:p w14:paraId="4DECA2F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32" w:type="dxa"/>
            <w:noWrap w:val="0"/>
            <w:vAlign w:val="top"/>
          </w:tcPr>
          <w:p w14:paraId="6345AD47">
            <w:pPr>
              <w:spacing w:line="360" w:lineRule="auto"/>
              <w:rPr>
                <w:rFonts w:hint="eastAsia" w:ascii="宋体" w:hAnsi="宋体" w:eastAsia="宋体" w:cs="宋体"/>
                <w:color w:val="auto"/>
                <w:sz w:val="24"/>
                <w:szCs w:val="24"/>
                <w:highlight w:val="none"/>
                <w:u w:val="single"/>
                <w:lang w:val="en-US" w:eastAsia="zh-CN"/>
              </w:rPr>
            </w:pPr>
          </w:p>
          <w:p w14:paraId="218CB0CA">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trPr>
        <w:tc>
          <w:tcPr>
            <w:tcW w:w="9359" w:type="dxa"/>
            <w:gridSpan w:val="2"/>
            <w:noWrap w:val="0"/>
            <w:vAlign w:val="top"/>
          </w:tcPr>
          <w:p w14:paraId="6902F005">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11CC09">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06D2F8FB">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投标人签章：</w:t>
      </w:r>
      <w:r>
        <w:rPr>
          <w:rFonts w:hint="eastAsia" w:asciiTheme="minorEastAsia" w:hAnsiTheme="minorEastAsia" w:eastAsiaTheme="minorEastAsia" w:cstheme="minorEastAsia"/>
          <w:color w:val="auto"/>
          <w:sz w:val="24"/>
          <w:highlight w:val="none"/>
          <w:u w:val="single"/>
        </w:rPr>
        <w:t xml:space="preserve">             </w:t>
      </w:r>
    </w:p>
    <w:p w14:paraId="0F204AE8">
      <w:pPr>
        <w:pageBreakBefore w:val="0"/>
        <w:tabs>
          <w:tab w:val="left" w:pos="630"/>
        </w:tabs>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b/>
          <w:bCs/>
          <w:color w:val="auto"/>
          <w:sz w:val="24"/>
          <w:szCs w:val="28"/>
          <w:highlight w:val="non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03AE1127">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b/>
          <w:bCs/>
          <w:color w:val="auto"/>
          <w:sz w:val="24"/>
          <w:szCs w:val="28"/>
          <w:highlight w:val="none"/>
          <w:lang w:eastAsia="zh-CN"/>
        </w:rPr>
      </w:pPr>
      <w:r>
        <w:rPr>
          <w:rFonts w:hint="eastAsia" w:asciiTheme="minorEastAsia" w:hAnsiTheme="minorEastAsia" w:eastAsiaTheme="minorEastAsia" w:cstheme="minorEastAsia"/>
          <w:b/>
          <w:bCs/>
          <w:color w:val="auto"/>
          <w:sz w:val="24"/>
          <w:szCs w:val="28"/>
          <w:highlight w:val="none"/>
          <w:lang w:eastAsia="zh-CN"/>
        </w:rPr>
        <w:t>注：</w:t>
      </w:r>
    </w:p>
    <w:p w14:paraId="6FEECEC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rPr>
        <w:t>所列服务为对应本项目需求的全部服务内容。如有漏项或缺项，投标人承担全部责任。</w:t>
      </w:r>
    </w:p>
    <w:p w14:paraId="3CD69A16">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2.上述报价为投标人完成本项目内容的全部费用（总报价为表5-1和表5-2合计金额之和），如有漏项或缺项，自行承担全部责任。</w:t>
      </w:r>
    </w:p>
    <w:p w14:paraId="7F729170">
      <w:pPr>
        <w:pStyle w:val="5"/>
        <w:rPr>
          <w:rFonts w:hint="eastAsia"/>
          <w:color w:val="auto"/>
          <w:highlight w:val="none"/>
        </w:rPr>
      </w:pPr>
    </w:p>
    <w:p w14:paraId="3914E7A0">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color w:val="auto"/>
          <w:sz w:val="24"/>
          <w:highlight w:val="none"/>
        </w:rPr>
      </w:pPr>
    </w:p>
    <w:p w14:paraId="34641591">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p>
    <w:p w14:paraId="5E51B7F6">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rPr>
        <w:t>六、投标响应表</w:t>
      </w:r>
      <w:bookmarkEnd w:id="321"/>
      <w:bookmarkEnd w:id="322"/>
      <w:bookmarkEnd w:id="323"/>
    </w:p>
    <w:p w14:paraId="23FD09C8">
      <w:pPr>
        <w:pageBreakBefore w:val="0"/>
        <w:kinsoku/>
        <w:overflowPunct/>
        <w:topLinePunct w:val="0"/>
        <w:bidi w:val="0"/>
        <w:spacing w:line="360" w:lineRule="auto"/>
        <w:ind w:left="0" w:leftChars="0" w:right="0" w:rightChars="0" w:firstLine="435"/>
        <w:textAlignment w:val="auto"/>
        <w:outlineLvl w:val="2"/>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6.1商务响应表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089"/>
        <w:gridCol w:w="2723"/>
        <w:gridCol w:w="2806"/>
        <w:gridCol w:w="883"/>
      </w:tblGrid>
      <w:tr w14:paraId="0CAA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3" w:type="pct"/>
            <w:vAlign w:val="center"/>
          </w:tcPr>
          <w:p w14:paraId="4187CC6F">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1124" w:type="pct"/>
            <w:vAlign w:val="center"/>
          </w:tcPr>
          <w:p w14:paraId="26A14530">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商务条款</w:t>
            </w:r>
          </w:p>
        </w:tc>
        <w:tc>
          <w:tcPr>
            <w:tcW w:w="1465" w:type="pct"/>
            <w:vAlign w:val="center"/>
          </w:tcPr>
          <w:p w14:paraId="722D0254">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招标文件要求</w:t>
            </w:r>
          </w:p>
        </w:tc>
        <w:tc>
          <w:tcPr>
            <w:tcW w:w="1510" w:type="pct"/>
            <w:vAlign w:val="center"/>
          </w:tcPr>
          <w:p w14:paraId="1DEF0ABA">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投标人承诺</w:t>
            </w:r>
          </w:p>
        </w:tc>
        <w:tc>
          <w:tcPr>
            <w:tcW w:w="475" w:type="pct"/>
            <w:vAlign w:val="center"/>
          </w:tcPr>
          <w:p w14:paraId="630233D7">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16E1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380939F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1124" w:type="pct"/>
            <w:vAlign w:val="center"/>
          </w:tcPr>
          <w:p w14:paraId="0C15574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付款方式</w:t>
            </w:r>
          </w:p>
        </w:tc>
        <w:tc>
          <w:tcPr>
            <w:tcW w:w="1465" w:type="pct"/>
            <w:vAlign w:val="center"/>
          </w:tcPr>
          <w:p w14:paraId="34B5EC7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510" w:type="pct"/>
            <w:vAlign w:val="center"/>
          </w:tcPr>
          <w:p w14:paraId="35475BB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475" w:type="pct"/>
            <w:vAlign w:val="center"/>
          </w:tcPr>
          <w:p w14:paraId="08CE0DF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BCB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7C69FA4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1124" w:type="pct"/>
            <w:vAlign w:val="center"/>
          </w:tcPr>
          <w:p w14:paraId="4E2ABEF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服务地点</w:t>
            </w:r>
          </w:p>
        </w:tc>
        <w:tc>
          <w:tcPr>
            <w:tcW w:w="1465" w:type="pct"/>
            <w:vAlign w:val="center"/>
          </w:tcPr>
          <w:p w14:paraId="3BBA0FA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510" w:type="pct"/>
            <w:vAlign w:val="center"/>
          </w:tcPr>
          <w:p w14:paraId="6CADA30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475" w:type="pct"/>
            <w:vAlign w:val="center"/>
          </w:tcPr>
          <w:p w14:paraId="7E10C8A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16B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3" w:type="pct"/>
            <w:vAlign w:val="center"/>
          </w:tcPr>
          <w:p w14:paraId="1B6A664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1124" w:type="pct"/>
            <w:vAlign w:val="center"/>
          </w:tcPr>
          <w:p w14:paraId="1502EE0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服务期限</w:t>
            </w:r>
          </w:p>
        </w:tc>
        <w:tc>
          <w:tcPr>
            <w:tcW w:w="1465" w:type="pct"/>
            <w:vAlign w:val="center"/>
          </w:tcPr>
          <w:p w14:paraId="58A89ED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510" w:type="pct"/>
            <w:vAlign w:val="center"/>
          </w:tcPr>
          <w:p w14:paraId="6C9F5F1B">
            <w:pPr>
              <w:pStyle w:val="23"/>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475" w:type="pct"/>
            <w:vAlign w:val="center"/>
          </w:tcPr>
          <w:p w14:paraId="7171414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EDA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423" w:type="pct"/>
            <w:vAlign w:val="center"/>
          </w:tcPr>
          <w:p w14:paraId="7616846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1124" w:type="pct"/>
            <w:vAlign w:val="center"/>
          </w:tcPr>
          <w:p w14:paraId="65ADCE6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465" w:type="pct"/>
            <w:vAlign w:val="center"/>
          </w:tcPr>
          <w:p w14:paraId="6E88B16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510" w:type="pct"/>
            <w:vAlign w:val="center"/>
          </w:tcPr>
          <w:p w14:paraId="7586082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475" w:type="pct"/>
            <w:vAlign w:val="center"/>
          </w:tcPr>
          <w:p w14:paraId="0F8928F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309F4EAD">
      <w:pPr>
        <w:pageBreakBefore w:val="0"/>
        <w:kinsoku/>
        <w:overflowPunct/>
        <w:topLinePunct w:val="0"/>
        <w:bidi w:val="0"/>
        <w:spacing w:line="360" w:lineRule="auto"/>
        <w:ind w:left="0" w:leftChars="0" w:right="0" w:rightChars="0" w:firstLine="435"/>
        <w:textAlignment w:val="auto"/>
        <w:outlineLvl w:val="2"/>
        <w:rPr>
          <w:rFonts w:hint="eastAsia" w:asciiTheme="minorEastAsia" w:hAnsiTheme="minorEastAsia" w:eastAsiaTheme="minorEastAsia" w:cstheme="minorEastAsia"/>
          <w:bCs/>
          <w:i/>
          <w:iCs/>
          <w:color w:val="auto"/>
          <w:sz w:val="24"/>
          <w:highlight w:val="none"/>
        </w:rPr>
      </w:pPr>
      <w:r>
        <w:rPr>
          <w:rFonts w:hint="eastAsia" w:asciiTheme="minorEastAsia" w:hAnsiTheme="minorEastAsia" w:eastAsiaTheme="minorEastAsia" w:cstheme="minorEastAsia"/>
          <w:b/>
          <w:color w:val="auto"/>
          <w:sz w:val="24"/>
          <w:highlight w:val="none"/>
        </w:rPr>
        <w:t>6.2</w:t>
      </w:r>
      <w:r>
        <w:rPr>
          <w:rFonts w:hint="eastAsia" w:asciiTheme="minorEastAsia" w:hAnsiTheme="minorEastAsia" w:eastAsiaTheme="minorEastAsia" w:cstheme="minorEastAsia"/>
          <w:b/>
          <w:color w:val="auto"/>
          <w:sz w:val="24"/>
          <w:highlight w:val="none"/>
          <w:lang w:val="en-US"/>
        </w:rPr>
        <w:t>技术</w:t>
      </w:r>
      <w:r>
        <w:rPr>
          <w:rFonts w:hint="eastAsia" w:asciiTheme="minorEastAsia" w:hAnsiTheme="minorEastAsia" w:eastAsiaTheme="minorEastAsia" w:cstheme="minorEastAsia"/>
          <w:b/>
          <w:color w:val="auto"/>
          <w:sz w:val="24"/>
          <w:highlight w:val="none"/>
        </w:rPr>
        <w:t>响应表</w:t>
      </w:r>
      <w:bookmarkStart w:id="327" w:name="_Hlk23622474"/>
      <w:r>
        <w:rPr>
          <w:rFonts w:hint="eastAsia" w:asciiTheme="minorEastAsia" w:hAnsiTheme="minorEastAsia" w:eastAsiaTheme="minorEastAsia" w:cstheme="minorEastAsia"/>
          <w:b w:val="0"/>
          <w:bCs w:val="0"/>
          <w:i/>
          <w:iCs/>
          <w:color w:val="auto"/>
          <w:kern w:val="2"/>
          <w:sz w:val="24"/>
          <w:szCs w:val="18"/>
          <w:highlight w:val="none"/>
          <w:lang w:val="en-US" w:eastAsia="zh-CN" w:bidi="ar-SA"/>
        </w:rPr>
        <w:t>（本条可编辑，适用于含货物采购的服务项目，如无需，请删去本条）</w:t>
      </w:r>
      <w:bookmarkEnd w:id="327"/>
    </w:p>
    <w:tbl>
      <w:tblPr>
        <w:tblStyle w:val="1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700"/>
        <w:gridCol w:w="3125"/>
        <w:gridCol w:w="2705"/>
        <w:gridCol w:w="929"/>
      </w:tblGrid>
      <w:tr w14:paraId="4B34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4" w:type="pct"/>
            <w:vAlign w:val="center"/>
          </w:tcPr>
          <w:p w14:paraId="11BDA6B4">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5244398B">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bCs/>
                <w:color w:val="auto"/>
                <w:sz w:val="24"/>
                <w:szCs w:val="24"/>
                <w:highlight w:val="none"/>
                <w:lang w:val="en-US"/>
              </w:rPr>
              <w:t>货物名称</w:t>
            </w:r>
          </w:p>
        </w:tc>
        <w:tc>
          <w:tcPr>
            <w:tcW w:w="1682" w:type="pct"/>
            <w:vAlign w:val="center"/>
          </w:tcPr>
          <w:p w14:paraId="62183BCB">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lang w:val="en-US"/>
              </w:rPr>
              <w:t>招标文件规定的技术参数要求</w:t>
            </w:r>
          </w:p>
        </w:tc>
        <w:tc>
          <w:tcPr>
            <w:tcW w:w="1456" w:type="pct"/>
            <w:vAlign w:val="center"/>
          </w:tcPr>
          <w:p w14:paraId="737586A5">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lang w:val="en-US"/>
              </w:rPr>
              <w:t>所投产品的品牌、型号及技术参数</w:t>
            </w:r>
          </w:p>
        </w:tc>
        <w:tc>
          <w:tcPr>
            <w:tcW w:w="500" w:type="pct"/>
            <w:vAlign w:val="center"/>
          </w:tcPr>
          <w:p w14:paraId="7A96041E">
            <w:pPr>
              <w:pStyle w:val="7"/>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lang w:eastAsia="zh-CN"/>
              </w:rPr>
            </w:pPr>
            <w:r>
              <w:rPr>
                <w:rFonts w:hint="eastAsia" w:asciiTheme="minorEastAsia" w:hAnsiTheme="minorEastAsia" w:eastAsiaTheme="minorEastAsia" w:cstheme="minorEastAsia"/>
                <w:b/>
                <w:color w:val="auto"/>
                <w:sz w:val="24"/>
                <w:highlight w:val="none"/>
                <w:lang w:val="en-US"/>
              </w:rPr>
              <w:t>偏离说明</w:t>
            </w:r>
          </w:p>
        </w:tc>
      </w:tr>
      <w:tr w14:paraId="299B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0103735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p>
        </w:tc>
        <w:tc>
          <w:tcPr>
            <w:tcW w:w="915" w:type="pct"/>
            <w:vAlign w:val="center"/>
          </w:tcPr>
          <w:p w14:paraId="7CB07BF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2" w:type="pct"/>
            <w:vAlign w:val="center"/>
          </w:tcPr>
          <w:p w14:paraId="69FE115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456" w:type="pct"/>
            <w:vAlign w:val="center"/>
          </w:tcPr>
          <w:p w14:paraId="1AB7A0B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0" w:type="pct"/>
            <w:vAlign w:val="center"/>
          </w:tcPr>
          <w:p w14:paraId="46B1F88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6241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000309B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Align w:val="center"/>
          </w:tcPr>
          <w:p w14:paraId="752BFAA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2" w:type="pct"/>
            <w:vAlign w:val="center"/>
          </w:tcPr>
          <w:p w14:paraId="5367E4D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456" w:type="pct"/>
            <w:vAlign w:val="center"/>
          </w:tcPr>
          <w:p w14:paraId="6FB8430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0" w:type="pct"/>
            <w:vAlign w:val="center"/>
          </w:tcPr>
          <w:p w14:paraId="3528ECD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77E4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3C6A138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Align w:val="center"/>
          </w:tcPr>
          <w:p w14:paraId="29FB73C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2" w:type="pct"/>
            <w:vAlign w:val="center"/>
          </w:tcPr>
          <w:p w14:paraId="074E563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456" w:type="pct"/>
            <w:vAlign w:val="center"/>
          </w:tcPr>
          <w:p w14:paraId="7791FEAA">
            <w:pPr>
              <w:pStyle w:val="23"/>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0" w:type="pct"/>
            <w:vAlign w:val="center"/>
          </w:tcPr>
          <w:p w14:paraId="763B22E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7363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1644008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Align w:val="center"/>
          </w:tcPr>
          <w:p w14:paraId="40D4EA4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2" w:type="pct"/>
            <w:vAlign w:val="center"/>
          </w:tcPr>
          <w:p w14:paraId="59E5E94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456" w:type="pct"/>
            <w:vAlign w:val="center"/>
          </w:tcPr>
          <w:p w14:paraId="2D39853B">
            <w:pPr>
              <w:pStyle w:val="23"/>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0" w:type="pct"/>
            <w:vAlign w:val="center"/>
          </w:tcPr>
          <w:p w14:paraId="324D6FF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62FC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4" w:type="pct"/>
            <w:vAlign w:val="center"/>
          </w:tcPr>
          <w:p w14:paraId="716677D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915" w:type="pct"/>
            <w:vAlign w:val="center"/>
          </w:tcPr>
          <w:p w14:paraId="292C92A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2" w:type="pct"/>
            <w:vAlign w:val="center"/>
          </w:tcPr>
          <w:p w14:paraId="18FC7C1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456" w:type="pct"/>
            <w:vAlign w:val="center"/>
          </w:tcPr>
          <w:p w14:paraId="3670602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0" w:type="pct"/>
            <w:vAlign w:val="center"/>
          </w:tcPr>
          <w:p w14:paraId="19B3E83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bl>
    <w:p w14:paraId="7615A282">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投标人签章：</w:t>
      </w:r>
      <w:r>
        <w:rPr>
          <w:rFonts w:hint="eastAsia" w:asciiTheme="minorEastAsia" w:hAnsiTheme="minorEastAsia" w:eastAsiaTheme="minorEastAsia" w:cstheme="minorEastAsia"/>
          <w:color w:val="auto"/>
          <w:sz w:val="24"/>
          <w:highlight w:val="none"/>
          <w:u w:val="single"/>
        </w:rPr>
        <w:t xml:space="preserve">             </w:t>
      </w:r>
    </w:p>
    <w:p w14:paraId="3BAE4F9E">
      <w:pPr>
        <w:pageBreakBefore w:val="0"/>
        <w:tabs>
          <w:tab w:val="left" w:pos="630"/>
        </w:tabs>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7A5F1958">
      <w:pPr>
        <w:pStyle w:val="8"/>
        <w:pageBreakBefore w:val="0"/>
        <w:kinsoku/>
        <w:overflowPunct/>
        <w:topLinePunct w:val="0"/>
        <w:bidi w:val="0"/>
        <w:spacing w:line="360" w:lineRule="auto"/>
        <w:ind w:left="0" w:leftChars="0" w:right="0" w:rightChars="0" w:firstLine="241" w:firstLineChars="100"/>
        <w:textAlignment w:val="auto"/>
        <w:rPr>
          <w:rFonts w:hint="eastAsia" w:asciiTheme="minorEastAsia" w:hAnsiTheme="minorEastAsia" w:eastAsiaTheme="minorEastAsia" w:cstheme="minorEastAsia"/>
          <w:b w:val="0"/>
          <w:bCs w:val="0"/>
          <w:i/>
          <w:iCs/>
          <w:color w:val="auto"/>
          <w:kern w:val="2"/>
          <w:sz w:val="24"/>
          <w:szCs w:val="18"/>
          <w:highlight w:val="none"/>
          <w:lang w:val="en-US" w:eastAsia="zh-CN" w:bidi="ar-SA"/>
        </w:rPr>
      </w:pPr>
      <w:r>
        <w:rPr>
          <w:rFonts w:hint="eastAsia" w:asciiTheme="minorEastAsia" w:hAnsiTheme="minorEastAsia" w:eastAsiaTheme="minorEastAsia" w:cstheme="minorEastAsia"/>
          <w:b/>
          <w:color w:val="auto"/>
          <w:kern w:val="2"/>
          <w:sz w:val="24"/>
          <w:highlight w:val="none"/>
          <w:lang w:val="en-US" w:eastAsia="zh-CN" w:bidi="ar-SA"/>
        </w:rPr>
        <w:t>6.3服务内容响应承诺</w:t>
      </w:r>
      <w:r>
        <w:rPr>
          <w:rFonts w:hint="eastAsia" w:asciiTheme="minorEastAsia" w:hAnsiTheme="minorEastAsia" w:eastAsiaTheme="minorEastAsia" w:cstheme="minorEastAsia"/>
          <w:b w:val="0"/>
          <w:bCs w:val="0"/>
          <w:i/>
          <w:iCs/>
          <w:color w:val="auto"/>
          <w:kern w:val="2"/>
          <w:sz w:val="24"/>
          <w:szCs w:val="18"/>
          <w:highlight w:val="none"/>
          <w:lang w:val="en-US" w:eastAsia="zh-CN" w:bidi="ar-SA"/>
        </w:rPr>
        <w:t>（格式自拟）</w:t>
      </w:r>
    </w:p>
    <w:p w14:paraId="55E5CA28">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val="0"/>
          <w:bCs w:val="0"/>
          <w:i/>
          <w:iCs/>
          <w:color w:val="auto"/>
          <w:kern w:val="2"/>
          <w:sz w:val="24"/>
          <w:szCs w:val="18"/>
          <w:highlight w:val="none"/>
          <w:lang w:val="en-US" w:eastAsia="zh-CN" w:bidi="ar-SA"/>
        </w:rPr>
      </w:pPr>
    </w:p>
    <w:p w14:paraId="4F481FA8">
      <w:pPr>
        <w:pageBreakBefore w:val="0"/>
        <w:kinsoku/>
        <w:overflowPunct/>
        <w:topLinePunct w:val="0"/>
        <w:bidi w:val="0"/>
        <w:spacing w:line="360" w:lineRule="auto"/>
        <w:ind w:left="0" w:leftChars="0" w:right="0" w:rightChars="0"/>
        <w:jc w:val="both"/>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注：投标人以承诺函的方式对服务需求进行响应。</w:t>
      </w:r>
    </w:p>
    <w:p w14:paraId="14A2149E">
      <w:pPr>
        <w:pageBreakBefore w:val="0"/>
        <w:kinsoku/>
        <w:overflowPunct/>
        <w:topLinePunct w:val="0"/>
        <w:bidi w:val="0"/>
        <w:spacing w:line="360" w:lineRule="auto"/>
        <w:textAlignment w:val="auto"/>
        <w:rPr>
          <w:rFonts w:hint="eastAsia" w:asciiTheme="minorEastAsia" w:hAnsiTheme="minorEastAsia" w:eastAsiaTheme="minorEastAsia" w:cstheme="minorEastAsia"/>
          <w:color w:val="auto"/>
          <w:sz w:val="24"/>
          <w:highlight w:val="none"/>
          <w:lang w:val="en-US" w:eastAsia="zh-CN"/>
        </w:rPr>
      </w:pPr>
    </w:p>
    <w:p w14:paraId="290E1C3F">
      <w:pPr>
        <w:pageBreakBefore w:val="0"/>
        <w:kinsoku/>
        <w:overflowPunct/>
        <w:topLinePunct w:val="0"/>
        <w:bidi w:val="0"/>
        <w:spacing w:line="360" w:lineRule="auto"/>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b/>
          <w:bCs/>
          <w:color w:val="auto"/>
          <w:sz w:val="24"/>
          <w:highlight w:val="none"/>
          <w:lang w:val="en-US" w:eastAsia="zh-CN"/>
        </w:rPr>
        <w:t>投标人应对所承诺的各类参数真实性负责，如中标后被质疑虚假应标且被查实的或在履约过程中被发现虚假响应的，投标人将承担包括但不限于扣除履约保证金（如有）、处以罚金和上报相关主管部门纳入不良信用记录等一切后果及法律责任</w:t>
      </w:r>
      <w:r>
        <w:rPr>
          <w:rFonts w:hint="eastAsia" w:asciiTheme="minorEastAsia" w:hAnsiTheme="minorEastAsia" w:eastAsiaTheme="minorEastAsia" w:cstheme="minorEastAsia"/>
          <w:color w:val="auto"/>
          <w:sz w:val="24"/>
          <w:highlight w:val="none"/>
          <w:lang w:val="en-US" w:eastAsia="zh-CN"/>
        </w:rPr>
        <w:t>。</w:t>
      </w:r>
    </w:p>
    <w:p w14:paraId="5C903B79">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val="0"/>
          <w:bCs w:val="0"/>
          <w:i/>
          <w:iCs/>
          <w:color w:val="auto"/>
          <w:kern w:val="2"/>
          <w:sz w:val="24"/>
          <w:szCs w:val="18"/>
          <w:highlight w:val="none"/>
          <w:lang w:val="en-US" w:eastAsia="zh-CN" w:bidi="ar-SA"/>
        </w:rPr>
      </w:pPr>
    </w:p>
    <w:p w14:paraId="0333A3D9">
      <w:pPr>
        <w:pStyle w:val="8"/>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val="0"/>
          <w:color w:val="auto"/>
          <w:sz w:val="24"/>
          <w:highlight w:val="none"/>
        </w:rPr>
      </w:pPr>
      <w:r>
        <w:rPr>
          <w:rFonts w:hint="eastAsia" w:asciiTheme="minorEastAsia" w:hAnsiTheme="minorEastAsia" w:eastAsiaTheme="minorEastAsia" w:cstheme="minorEastAsia"/>
          <w:b w:val="0"/>
          <w:color w:val="auto"/>
          <w:sz w:val="24"/>
          <w:highlight w:val="none"/>
        </w:rPr>
        <w:br w:type="page"/>
      </w:r>
    </w:p>
    <w:p w14:paraId="4F7F52A1">
      <w:pPr>
        <w:rPr>
          <w:rFonts w:hint="eastAsia" w:asciiTheme="minorEastAsia" w:hAnsiTheme="minorEastAsia" w:eastAsiaTheme="minorEastAsia" w:cstheme="minorEastAsia"/>
          <w:b/>
          <w:color w:val="auto"/>
          <w:sz w:val="24"/>
          <w:highlight w:val="none"/>
          <w:lang w:val="en-US" w:eastAsia="zh-CN"/>
        </w:rPr>
      </w:pPr>
      <w:bookmarkStart w:id="328" w:name="_Toc300210382"/>
      <w:bookmarkStart w:id="329" w:name="_Toc520299348"/>
      <w:bookmarkStart w:id="330" w:name="_Toc457768004"/>
      <w:bookmarkStart w:id="331" w:name="_Toc23860"/>
      <w:bookmarkStart w:id="332" w:name="_Toc17987"/>
      <w:bookmarkStart w:id="333" w:name="_Toc26536"/>
      <w:bookmarkStart w:id="334" w:name="_Hlk11701496"/>
    </w:p>
    <w:p w14:paraId="660CAB27">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七、</w:t>
      </w:r>
      <w:bookmarkEnd w:id="328"/>
      <w:bookmarkEnd w:id="329"/>
      <w:bookmarkEnd w:id="330"/>
      <w:r>
        <w:rPr>
          <w:rFonts w:hint="eastAsia" w:asciiTheme="minorEastAsia" w:hAnsiTheme="minorEastAsia" w:eastAsiaTheme="minorEastAsia" w:cstheme="minorEastAsia"/>
          <w:b/>
          <w:color w:val="auto"/>
          <w:sz w:val="24"/>
          <w:highlight w:val="none"/>
          <w:lang w:val="en-US" w:eastAsia="zh-CN"/>
        </w:rPr>
        <w:t>诚信履约承诺函</w:t>
      </w:r>
      <w:bookmarkEnd w:id="331"/>
      <w:bookmarkEnd w:id="332"/>
      <w:bookmarkEnd w:id="333"/>
    </w:p>
    <w:p w14:paraId="09037B61">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bCs/>
          <w:color w:val="auto"/>
          <w:sz w:val="24"/>
          <w:highlight w:val="none"/>
        </w:rPr>
      </w:pPr>
    </w:p>
    <w:p w14:paraId="34C5FE5E">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bCs/>
          <w:color w:val="auto"/>
          <w:sz w:val="24"/>
          <w:highlight w:val="none"/>
          <w:u w:val="single"/>
          <w:lang w:eastAsia="zh-CN"/>
        </w:rPr>
      </w:pPr>
      <w:r>
        <w:rPr>
          <w:rFonts w:hint="eastAsia" w:asciiTheme="minorEastAsia" w:hAnsiTheme="minorEastAsia" w:eastAsiaTheme="minorEastAsia" w:cstheme="minorEastAsia"/>
          <w:b/>
          <w:bCs/>
          <w:color w:val="auto"/>
          <w:sz w:val="24"/>
          <w:highlight w:val="none"/>
        </w:rPr>
        <w:t>致：</w:t>
      </w:r>
      <w:r>
        <w:rPr>
          <w:rFonts w:hint="eastAsia" w:asciiTheme="minorEastAsia" w:hAnsiTheme="minorEastAsia" w:eastAsiaTheme="minorEastAsia" w:cstheme="minorEastAsia"/>
          <w:b/>
          <w:color w:val="auto"/>
          <w:sz w:val="24"/>
          <w:szCs w:val="24"/>
          <w:highlight w:val="none"/>
          <w:u w:val="single"/>
          <w:lang w:val="en-US" w:eastAsia="zh-CN"/>
        </w:rPr>
        <w:t xml:space="preserve">  （采购人名称）  </w:t>
      </w:r>
    </w:p>
    <w:p w14:paraId="4C221583">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5C82E528">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（1）中标后无正当理由拒不与采购人签订采购合同；</w:t>
      </w:r>
    </w:p>
    <w:p w14:paraId="472B89E8">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（2）未按照采购文件确定的事项签订采购合同；</w:t>
      </w:r>
    </w:p>
    <w:p w14:paraId="5ECFBA27">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（3）将政府采购合同转包；</w:t>
      </w:r>
    </w:p>
    <w:p w14:paraId="118CB3E5">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（4）提供假冒伪劣产品；</w:t>
      </w:r>
    </w:p>
    <w:p w14:paraId="481F51D0">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（5）擅自变更、中止或者终止采购合同。</w:t>
      </w:r>
    </w:p>
    <w:p w14:paraId="2AC4B8E5">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采购活动，有违法所得的，并处没收违法所得，情节严重的，由工商行政管理机关吊销营业执照；构成犯罪的，依法追究刑事责任。</w:t>
      </w:r>
    </w:p>
    <w:p w14:paraId="6E7DF23C">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Cs/>
          <w:color w:val="auto"/>
          <w:sz w:val="24"/>
          <w:highlight w:val="none"/>
        </w:rPr>
      </w:pPr>
    </w:p>
    <w:p w14:paraId="76182C20">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Cs/>
          <w:color w:val="auto"/>
          <w:sz w:val="24"/>
          <w:highlight w:val="none"/>
        </w:rPr>
      </w:pPr>
    </w:p>
    <w:p w14:paraId="51DE89EA">
      <w:pPr>
        <w:pageBreakBefore w:val="0"/>
        <w:kinsoku/>
        <w:overflowPunct/>
        <w:topLinePunct w:val="0"/>
        <w:bidi w:val="0"/>
        <w:spacing w:line="360" w:lineRule="auto"/>
        <w:ind w:left="0" w:leftChars="0" w:right="0" w:rightChars="0" w:firstLine="4320" w:firstLineChars="1800"/>
        <w:textAlignment w:val="auto"/>
        <w:rPr>
          <w:rFonts w:hint="eastAsia" w:asciiTheme="minorEastAsia" w:hAnsiTheme="minorEastAsia" w:eastAsiaTheme="minorEastAsia" w:cstheme="minorEastAsia"/>
          <w:bCs/>
          <w:color w:val="auto"/>
          <w:sz w:val="24"/>
          <w:highlight w:val="none"/>
          <w:u w:val="single"/>
        </w:rPr>
      </w:pPr>
      <w:r>
        <w:rPr>
          <w:rFonts w:hint="eastAsia" w:asciiTheme="minorEastAsia" w:hAnsiTheme="minorEastAsia" w:eastAsiaTheme="minorEastAsia" w:cstheme="minorEastAsia"/>
          <w:bCs/>
          <w:color w:val="auto"/>
          <w:sz w:val="24"/>
          <w:highlight w:val="none"/>
        </w:rPr>
        <w:t>投标人签章：</w:t>
      </w:r>
      <w:r>
        <w:rPr>
          <w:rFonts w:hint="eastAsia" w:asciiTheme="minorEastAsia" w:hAnsiTheme="minorEastAsia" w:eastAsiaTheme="minorEastAsia" w:cstheme="minorEastAsia"/>
          <w:bCs/>
          <w:color w:val="auto"/>
          <w:sz w:val="24"/>
          <w:highlight w:val="none"/>
          <w:u w:val="single"/>
        </w:rPr>
        <w:t xml:space="preserve">             </w:t>
      </w:r>
    </w:p>
    <w:p w14:paraId="10188912">
      <w:pPr>
        <w:pageBreakBefore w:val="0"/>
        <w:kinsoku/>
        <w:overflowPunct/>
        <w:topLinePunct w:val="0"/>
        <w:bidi w:val="0"/>
        <w:spacing w:line="360" w:lineRule="auto"/>
        <w:ind w:left="0" w:leftChars="0" w:right="0" w:rightChars="0" w:firstLine="4320" w:firstLineChars="1800"/>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日          期：</w:t>
      </w:r>
      <w:r>
        <w:rPr>
          <w:rFonts w:hint="eastAsia" w:asciiTheme="minorEastAsia" w:hAnsiTheme="minorEastAsia" w:eastAsiaTheme="minorEastAsia" w:cstheme="minorEastAsia"/>
          <w:bCs/>
          <w:color w:val="auto"/>
          <w:sz w:val="24"/>
          <w:highlight w:val="none"/>
          <w:u w:val="single"/>
        </w:rPr>
        <w:t xml:space="preserve">             </w:t>
      </w:r>
    </w:p>
    <w:p w14:paraId="537E8DF9">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p>
    <w:bookmarkEnd w:id="334"/>
    <w:p w14:paraId="6D628939">
      <w:pPr>
        <w:pStyle w:val="3"/>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jc w:val="center"/>
        <w:textAlignment w:val="auto"/>
        <w:outlineLvl w:val="1"/>
        <w:rPr>
          <w:rFonts w:hint="eastAsia" w:asciiTheme="minorEastAsia" w:hAnsiTheme="minorEastAsia" w:eastAsiaTheme="minorEastAsia" w:cstheme="minorEastAsia"/>
          <w:color w:val="auto"/>
          <w:kern w:val="0"/>
          <w:sz w:val="24"/>
          <w:szCs w:val="24"/>
          <w:highlight w:val="none"/>
          <w:lang w:val="zh-CN" w:bidi="zh-CN"/>
        </w:rPr>
      </w:pPr>
      <w:bookmarkStart w:id="335" w:name="_Toc31807"/>
      <w:bookmarkStart w:id="336" w:name="_Toc10781"/>
      <w:bookmarkStart w:id="337" w:name="_Toc32633"/>
      <w:r>
        <w:rPr>
          <w:rFonts w:hint="eastAsia" w:asciiTheme="minorEastAsia" w:hAnsiTheme="minorEastAsia" w:eastAsiaTheme="minorEastAsia" w:cstheme="minorEastAsia"/>
          <w:b/>
          <w:color w:val="auto"/>
          <w:sz w:val="24"/>
          <w:highlight w:val="none"/>
          <w:lang w:val="en-US" w:eastAsia="zh-CN"/>
        </w:rPr>
        <w:t>八、</w:t>
      </w:r>
      <w:r>
        <w:rPr>
          <w:rFonts w:hint="eastAsia" w:asciiTheme="minorEastAsia" w:hAnsiTheme="minorEastAsia" w:eastAsiaTheme="minorEastAsia" w:cstheme="minorEastAsia"/>
          <w:color w:val="auto"/>
          <w:kern w:val="2"/>
          <w:sz w:val="24"/>
          <w:szCs w:val="32"/>
          <w:highlight w:val="none"/>
          <w:lang w:val="en-US" w:bidi="zh-CN"/>
        </w:rPr>
        <w:t>主要中标标的承诺函</w:t>
      </w:r>
    </w:p>
    <w:p w14:paraId="0A522390">
      <w:pPr>
        <w:pageBreakBefore w:val="0"/>
        <w:kinsoku/>
        <w:overflowPunct/>
        <w:topLinePunct w:val="0"/>
        <w:bidi w:val="0"/>
        <w:spacing w:line="360" w:lineRule="auto"/>
        <w:ind w:left="0" w:leftChars="0" w:right="0" w:rightChars="0" w:firstLine="600" w:firstLineChars="250"/>
        <w:textAlignment w:val="auto"/>
        <w:rPr>
          <w:rFonts w:hint="eastAsia" w:asciiTheme="minorEastAsia" w:hAnsiTheme="minorEastAsia" w:eastAsiaTheme="minorEastAsia" w:cstheme="minorEastAsia"/>
          <w:bCs/>
          <w:color w:val="auto"/>
          <w:spacing w:val="0"/>
          <w:sz w:val="24"/>
          <w:szCs w:val="24"/>
          <w:highlight w:val="none"/>
          <w:lang w:eastAsia="en-US" w:bidi="zh-CN"/>
        </w:rPr>
      </w:pPr>
    </w:p>
    <w:p w14:paraId="01B7A822">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bCs/>
          <w:color w:val="auto"/>
          <w:sz w:val="24"/>
          <w:szCs w:val="24"/>
          <w:highlight w:val="none"/>
          <w:lang w:eastAsia="en-US" w:bidi="zh-CN"/>
        </w:rPr>
      </w:pPr>
      <w:r>
        <w:rPr>
          <w:rFonts w:hint="eastAsia" w:asciiTheme="minorEastAsia" w:hAnsiTheme="minorEastAsia" w:eastAsiaTheme="minorEastAsia" w:cstheme="minorEastAsia"/>
          <w:bCs/>
          <w:color w:val="auto"/>
          <w:spacing w:val="0"/>
          <w:sz w:val="24"/>
          <w:szCs w:val="24"/>
          <w:highlight w:val="none"/>
          <w:lang w:eastAsia="en-US" w:bidi="zh-CN"/>
        </w:rPr>
        <w:t>我单位同意中标公告中公示以下主要中标标的并承诺：投标文件中所提供的主要中标标的均真实有效。若被发现存在任何虚假、隐瞒情况，我单位承担由此</w:t>
      </w:r>
      <w:r>
        <w:rPr>
          <w:rFonts w:hint="eastAsia" w:asciiTheme="minorEastAsia" w:hAnsiTheme="minorEastAsia" w:eastAsiaTheme="minorEastAsia" w:cstheme="minorEastAsia"/>
          <w:bCs/>
          <w:color w:val="auto"/>
          <w:sz w:val="24"/>
          <w:szCs w:val="24"/>
          <w:highlight w:val="none"/>
          <w:lang w:eastAsia="en-US" w:bidi="zh-CN"/>
        </w:rPr>
        <w:t>产生的一切后果。</w:t>
      </w:r>
    </w:p>
    <w:tbl>
      <w:tblPr>
        <w:tblStyle w:val="15"/>
        <w:tblpPr w:leftFromText="180" w:rightFromText="180" w:vertAnchor="text" w:horzAnchor="page" w:tblpX="1455" w:tblpY="276"/>
        <w:tblOverlap w:val="never"/>
        <w:tblW w:w="47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0"/>
        <w:gridCol w:w="1257"/>
        <w:gridCol w:w="1974"/>
        <w:gridCol w:w="1705"/>
        <w:gridCol w:w="1463"/>
        <w:gridCol w:w="1469"/>
      </w:tblGrid>
      <w:tr w14:paraId="556A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trPr>
        <w:tc>
          <w:tcPr>
            <w:tcW w:w="414" w:type="pct"/>
            <w:noWrap w:val="0"/>
            <w:vAlign w:val="top"/>
          </w:tcPr>
          <w:p w14:paraId="1CA7DB5A">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color w:val="auto"/>
                <w:sz w:val="24"/>
                <w:szCs w:val="24"/>
                <w:highlight w:val="none"/>
                <w:lang w:eastAsia="en-US"/>
              </w:rPr>
            </w:pPr>
            <w:r>
              <w:rPr>
                <w:color w:val="auto"/>
                <w:sz w:val="24"/>
                <w:szCs w:val="24"/>
                <w:highlight w:val="none"/>
                <w:lang w:eastAsia="en-US"/>
              </w:rPr>
              <w:t>序号</w:t>
            </w:r>
          </w:p>
        </w:tc>
        <w:tc>
          <w:tcPr>
            <w:tcW w:w="732" w:type="pct"/>
            <w:noWrap w:val="0"/>
            <w:vAlign w:val="top"/>
          </w:tcPr>
          <w:p w14:paraId="332A5084">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color w:val="auto"/>
                <w:sz w:val="24"/>
                <w:szCs w:val="24"/>
                <w:highlight w:val="none"/>
                <w:lang w:eastAsia="en-US"/>
              </w:rPr>
            </w:pPr>
            <w:r>
              <w:rPr>
                <w:color w:val="auto"/>
                <w:sz w:val="24"/>
                <w:szCs w:val="24"/>
                <w:highlight w:val="none"/>
                <w:lang w:eastAsia="en-US"/>
              </w:rPr>
              <w:t>名称</w:t>
            </w:r>
          </w:p>
        </w:tc>
        <w:tc>
          <w:tcPr>
            <w:tcW w:w="1150" w:type="pct"/>
            <w:noWrap w:val="0"/>
            <w:vAlign w:val="top"/>
          </w:tcPr>
          <w:p w14:paraId="4B8562AF">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服务范围</w:t>
            </w:r>
          </w:p>
        </w:tc>
        <w:tc>
          <w:tcPr>
            <w:tcW w:w="993" w:type="pct"/>
            <w:noWrap w:val="0"/>
            <w:vAlign w:val="top"/>
          </w:tcPr>
          <w:p w14:paraId="15E343EB">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hint="eastAsia" w:eastAsia="宋体"/>
                <w:color w:val="auto"/>
                <w:sz w:val="24"/>
                <w:szCs w:val="24"/>
                <w:highlight w:val="none"/>
                <w:lang w:val="en-US" w:eastAsia="zh-CN"/>
              </w:rPr>
            </w:pPr>
            <w:r>
              <w:rPr>
                <w:rFonts w:hint="eastAsia"/>
                <w:color w:val="auto"/>
                <w:sz w:val="24"/>
                <w:szCs w:val="24"/>
                <w:highlight w:val="none"/>
                <w:lang w:val="en-US" w:eastAsia="zh-CN"/>
              </w:rPr>
              <w:t>服务要求</w:t>
            </w:r>
          </w:p>
        </w:tc>
        <w:tc>
          <w:tcPr>
            <w:tcW w:w="852" w:type="pct"/>
            <w:noWrap w:val="0"/>
            <w:vAlign w:val="top"/>
          </w:tcPr>
          <w:p w14:paraId="6926F02E">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服务时间</w:t>
            </w:r>
          </w:p>
        </w:tc>
        <w:tc>
          <w:tcPr>
            <w:tcW w:w="856" w:type="pct"/>
            <w:noWrap w:val="0"/>
            <w:vAlign w:val="top"/>
          </w:tcPr>
          <w:p w14:paraId="483F55B6">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服务标准</w:t>
            </w:r>
          </w:p>
        </w:tc>
      </w:tr>
      <w:tr w14:paraId="43BE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414" w:type="pct"/>
            <w:noWrap w:val="0"/>
            <w:vAlign w:val="top"/>
          </w:tcPr>
          <w:p w14:paraId="32EBA3E7">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color w:val="auto"/>
                <w:sz w:val="24"/>
                <w:szCs w:val="24"/>
                <w:highlight w:val="none"/>
                <w:lang w:eastAsia="en-US"/>
              </w:rPr>
            </w:pPr>
            <w:r>
              <w:rPr>
                <w:color w:val="auto"/>
                <w:sz w:val="24"/>
                <w:szCs w:val="24"/>
                <w:highlight w:val="none"/>
                <w:lang w:eastAsia="en-US"/>
              </w:rPr>
              <w:t>1</w:t>
            </w:r>
          </w:p>
        </w:tc>
        <w:tc>
          <w:tcPr>
            <w:tcW w:w="732" w:type="pct"/>
            <w:noWrap w:val="0"/>
            <w:vAlign w:val="top"/>
          </w:tcPr>
          <w:p w14:paraId="0211869B">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1150" w:type="pct"/>
            <w:noWrap w:val="0"/>
            <w:vAlign w:val="top"/>
          </w:tcPr>
          <w:p w14:paraId="2B3A88B7">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993" w:type="pct"/>
            <w:noWrap w:val="0"/>
            <w:vAlign w:val="top"/>
          </w:tcPr>
          <w:p w14:paraId="2506DD5A">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852" w:type="pct"/>
            <w:noWrap w:val="0"/>
            <w:vAlign w:val="top"/>
          </w:tcPr>
          <w:p w14:paraId="6E86B3E2">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856" w:type="pct"/>
            <w:noWrap w:val="0"/>
            <w:vAlign w:val="top"/>
          </w:tcPr>
          <w:p w14:paraId="606C0EDB">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r>
      <w:tr w14:paraId="5426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414" w:type="pct"/>
            <w:noWrap w:val="0"/>
            <w:vAlign w:val="top"/>
          </w:tcPr>
          <w:p w14:paraId="44DC2593">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color w:val="auto"/>
                <w:sz w:val="24"/>
                <w:szCs w:val="24"/>
                <w:highlight w:val="none"/>
                <w:lang w:eastAsia="en-US"/>
              </w:rPr>
            </w:pPr>
            <w:r>
              <w:rPr>
                <w:color w:val="auto"/>
                <w:sz w:val="24"/>
                <w:szCs w:val="24"/>
                <w:highlight w:val="none"/>
                <w:lang w:eastAsia="en-US"/>
              </w:rPr>
              <w:t>2</w:t>
            </w:r>
          </w:p>
        </w:tc>
        <w:tc>
          <w:tcPr>
            <w:tcW w:w="732" w:type="pct"/>
            <w:noWrap w:val="0"/>
            <w:vAlign w:val="top"/>
          </w:tcPr>
          <w:p w14:paraId="6FA63EF2">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1150" w:type="pct"/>
            <w:noWrap w:val="0"/>
            <w:vAlign w:val="top"/>
          </w:tcPr>
          <w:p w14:paraId="19D90ECE">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993" w:type="pct"/>
            <w:noWrap w:val="0"/>
            <w:vAlign w:val="top"/>
          </w:tcPr>
          <w:p w14:paraId="2B150E68">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852" w:type="pct"/>
            <w:noWrap w:val="0"/>
            <w:vAlign w:val="top"/>
          </w:tcPr>
          <w:p w14:paraId="4497C335">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856" w:type="pct"/>
            <w:noWrap w:val="0"/>
            <w:vAlign w:val="top"/>
          </w:tcPr>
          <w:p w14:paraId="4F34EBD3">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r>
      <w:tr w14:paraId="35A6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414" w:type="pct"/>
            <w:noWrap w:val="0"/>
            <w:vAlign w:val="top"/>
          </w:tcPr>
          <w:p w14:paraId="4B316A0C">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color w:val="auto"/>
                <w:sz w:val="24"/>
                <w:szCs w:val="24"/>
                <w:highlight w:val="none"/>
                <w:lang w:eastAsia="en-US"/>
              </w:rPr>
            </w:pPr>
            <w:r>
              <w:rPr>
                <w:color w:val="auto"/>
                <w:sz w:val="24"/>
                <w:szCs w:val="24"/>
                <w:highlight w:val="none"/>
                <w:lang w:eastAsia="en-US"/>
              </w:rPr>
              <w:t>3</w:t>
            </w:r>
          </w:p>
        </w:tc>
        <w:tc>
          <w:tcPr>
            <w:tcW w:w="732" w:type="pct"/>
            <w:noWrap w:val="0"/>
            <w:vAlign w:val="top"/>
          </w:tcPr>
          <w:p w14:paraId="795301ED">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1150" w:type="pct"/>
            <w:noWrap w:val="0"/>
            <w:vAlign w:val="top"/>
          </w:tcPr>
          <w:p w14:paraId="7BE054AF">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993" w:type="pct"/>
            <w:noWrap w:val="0"/>
            <w:vAlign w:val="top"/>
          </w:tcPr>
          <w:p w14:paraId="3667A34D">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852" w:type="pct"/>
            <w:noWrap w:val="0"/>
            <w:vAlign w:val="top"/>
          </w:tcPr>
          <w:p w14:paraId="7F682395">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856" w:type="pct"/>
            <w:noWrap w:val="0"/>
            <w:vAlign w:val="top"/>
          </w:tcPr>
          <w:p w14:paraId="3C2AD517">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r>
      <w:tr w14:paraId="23C0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414" w:type="pct"/>
            <w:noWrap w:val="0"/>
            <w:vAlign w:val="top"/>
          </w:tcPr>
          <w:p w14:paraId="07912512">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color w:val="auto"/>
                <w:sz w:val="24"/>
                <w:szCs w:val="24"/>
                <w:highlight w:val="none"/>
                <w:lang w:eastAsia="en-US"/>
              </w:rPr>
            </w:pPr>
            <w:r>
              <w:rPr>
                <w:color w:val="auto"/>
                <w:sz w:val="24"/>
                <w:szCs w:val="24"/>
                <w:highlight w:val="none"/>
                <w:lang w:eastAsia="en-US"/>
              </w:rPr>
              <w:t>4</w:t>
            </w:r>
          </w:p>
        </w:tc>
        <w:tc>
          <w:tcPr>
            <w:tcW w:w="732" w:type="pct"/>
            <w:noWrap w:val="0"/>
            <w:vAlign w:val="top"/>
          </w:tcPr>
          <w:p w14:paraId="104AA990">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1150" w:type="pct"/>
            <w:noWrap w:val="0"/>
            <w:vAlign w:val="top"/>
          </w:tcPr>
          <w:p w14:paraId="4281A5E1">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993" w:type="pct"/>
            <w:noWrap w:val="0"/>
            <w:vAlign w:val="top"/>
          </w:tcPr>
          <w:p w14:paraId="3AEB568E">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852" w:type="pct"/>
            <w:noWrap w:val="0"/>
            <w:vAlign w:val="top"/>
          </w:tcPr>
          <w:p w14:paraId="1761446C">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c>
          <w:tcPr>
            <w:tcW w:w="856" w:type="pct"/>
            <w:noWrap w:val="0"/>
            <w:vAlign w:val="top"/>
          </w:tcPr>
          <w:p w14:paraId="143F62C5">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rFonts w:ascii="Times New Roman"/>
                <w:color w:val="auto"/>
                <w:sz w:val="24"/>
                <w:szCs w:val="24"/>
                <w:highlight w:val="none"/>
                <w:lang w:eastAsia="en-US"/>
              </w:rPr>
            </w:pPr>
          </w:p>
        </w:tc>
      </w:tr>
      <w:tr w14:paraId="16A3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414" w:type="pct"/>
            <w:noWrap w:val="0"/>
            <w:vAlign w:val="top"/>
          </w:tcPr>
          <w:p w14:paraId="4B65F986">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color w:val="auto"/>
                <w:sz w:val="24"/>
                <w:szCs w:val="24"/>
                <w:highlight w:val="none"/>
                <w:lang w:eastAsia="en-US"/>
              </w:rPr>
            </w:pPr>
            <w:r>
              <w:rPr>
                <w:color w:val="auto"/>
                <w:sz w:val="24"/>
                <w:szCs w:val="24"/>
                <w:highlight w:val="none"/>
                <w:lang w:eastAsia="en-US"/>
              </w:rPr>
              <w:t>5</w:t>
            </w:r>
          </w:p>
        </w:tc>
        <w:tc>
          <w:tcPr>
            <w:tcW w:w="732" w:type="pct"/>
            <w:noWrap w:val="0"/>
            <w:vAlign w:val="top"/>
          </w:tcPr>
          <w:p w14:paraId="6C5110AE">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c>
          <w:tcPr>
            <w:tcW w:w="1150" w:type="pct"/>
            <w:noWrap w:val="0"/>
            <w:vAlign w:val="top"/>
          </w:tcPr>
          <w:p w14:paraId="5E1AE4BB">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c>
          <w:tcPr>
            <w:tcW w:w="993" w:type="pct"/>
            <w:noWrap w:val="0"/>
            <w:vAlign w:val="top"/>
          </w:tcPr>
          <w:p w14:paraId="4D0ABF9D">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c>
          <w:tcPr>
            <w:tcW w:w="852" w:type="pct"/>
            <w:noWrap w:val="0"/>
            <w:vAlign w:val="top"/>
          </w:tcPr>
          <w:p w14:paraId="2E211A4E">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c>
          <w:tcPr>
            <w:tcW w:w="856" w:type="pct"/>
            <w:noWrap w:val="0"/>
            <w:vAlign w:val="top"/>
          </w:tcPr>
          <w:p w14:paraId="6E5DA728">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r>
      <w:tr w14:paraId="7CF0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414" w:type="pct"/>
            <w:noWrap w:val="0"/>
            <w:vAlign w:val="top"/>
          </w:tcPr>
          <w:p w14:paraId="56B68FB8">
            <w:pPr>
              <w:pStyle w:val="26"/>
              <w:keepNext w:val="0"/>
              <w:keepLines w:val="0"/>
              <w:pageBreakBefore w:val="0"/>
              <w:widowControl w:val="0"/>
              <w:kinsoku/>
              <w:wordWrap/>
              <w:overflowPunct/>
              <w:topLinePunct w:val="0"/>
              <w:bidi w:val="0"/>
              <w:adjustRightInd/>
              <w:snapToGrid/>
              <w:spacing w:line="360" w:lineRule="auto"/>
              <w:ind w:left="0" w:right="0"/>
              <w:jc w:val="center"/>
              <w:textAlignment w:val="auto"/>
              <w:rPr>
                <w:color w:val="auto"/>
                <w:sz w:val="24"/>
                <w:szCs w:val="24"/>
                <w:highlight w:val="none"/>
                <w:lang w:eastAsia="en-US"/>
              </w:rPr>
            </w:pPr>
            <w:r>
              <w:rPr>
                <w:color w:val="auto"/>
                <w:w w:val="200"/>
                <w:sz w:val="24"/>
                <w:szCs w:val="24"/>
                <w:highlight w:val="none"/>
                <w:lang w:eastAsia="en-US"/>
              </w:rPr>
              <w:t>„„</w:t>
            </w:r>
          </w:p>
        </w:tc>
        <w:tc>
          <w:tcPr>
            <w:tcW w:w="732" w:type="pct"/>
            <w:noWrap w:val="0"/>
            <w:vAlign w:val="top"/>
          </w:tcPr>
          <w:p w14:paraId="6E96E846">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c>
          <w:tcPr>
            <w:tcW w:w="1150" w:type="pct"/>
            <w:noWrap w:val="0"/>
            <w:vAlign w:val="top"/>
          </w:tcPr>
          <w:p w14:paraId="468524B9">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c>
          <w:tcPr>
            <w:tcW w:w="993" w:type="pct"/>
            <w:noWrap w:val="0"/>
            <w:vAlign w:val="top"/>
          </w:tcPr>
          <w:p w14:paraId="0FB72FFE">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c>
          <w:tcPr>
            <w:tcW w:w="852" w:type="pct"/>
            <w:noWrap w:val="0"/>
            <w:vAlign w:val="top"/>
          </w:tcPr>
          <w:p w14:paraId="3B368E3D">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c>
          <w:tcPr>
            <w:tcW w:w="856" w:type="pct"/>
            <w:noWrap w:val="0"/>
            <w:vAlign w:val="top"/>
          </w:tcPr>
          <w:p w14:paraId="7E80ED0F">
            <w:pPr>
              <w:pStyle w:val="26"/>
              <w:keepNext w:val="0"/>
              <w:keepLines w:val="0"/>
              <w:pageBreakBefore w:val="0"/>
              <w:widowControl w:val="0"/>
              <w:kinsoku/>
              <w:wordWrap/>
              <w:overflowPunct/>
              <w:topLinePunct w:val="0"/>
              <w:bidi w:val="0"/>
              <w:adjustRightInd/>
              <w:snapToGrid/>
              <w:spacing w:line="360" w:lineRule="auto"/>
              <w:ind w:left="0" w:right="0"/>
              <w:textAlignment w:val="auto"/>
              <w:rPr>
                <w:rFonts w:ascii="Times New Roman"/>
                <w:color w:val="auto"/>
                <w:sz w:val="24"/>
                <w:szCs w:val="24"/>
                <w:highlight w:val="none"/>
                <w:lang w:eastAsia="en-US"/>
              </w:rPr>
            </w:pPr>
          </w:p>
        </w:tc>
      </w:tr>
    </w:tbl>
    <w:p w14:paraId="2A32E867">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color w:val="auto"/>
          <w:sz w:val="21"/>
          <w:szCs w:val="21"/>
          <w:highlight w:val="none"/>
        </w:rPr>
      </w:pPr>
    </w:p>
    <w:p w14:paraId="41D79B1A">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color w:val="auto"/>
          <w:sz w:val="21"/>
          <w:szCs w:val="21"/>
          <w:highlight w:val="none"/>
        </w:rPr>
      </w:pPr>
    </w:p>
    <w:p w14:paraId="68B082DF">
      <w:pPr>
        <w:pStyle w:val="5"/>
        <w:pageBreakBefore w:val="0"/>
        <w:kinsoku/>
        <w:overflowPunct/>
        <w:topLinePunct w:val="0"/>
        <w:bidi w:val="0"/>
        <w:spacing w:after="0" w:line="360" w:lineRule="auto"/>
        <w:ind w:left="0" w:leftChars="0" w:right="0" w:rightChars="0"/>
        <w:textAlignment w:val="auto"/>
        <w:rPr>
          <w:rFonts w:hint="eastAsia" w:asciiTheme="minorEastAsia" w:hAnsiTheme="minorEastAsia" w:eastAsiaTheme="minorEastAsia" w:cstheme="minorEastAsia"/>
          <w:color w:val="auto"/>
          <w:sz w:val="21"/>
          <w:szCs w:val="21"/>
          <w:highlight w:val="none"/>
        </w:rPr>
      </w:pPr>
    </w:p>
    <w:p w14:paraId="577BC8FE">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highlight w:val="none"/>
        </w:rPr>
      </w:pPr>
    </w:p>
    <w:p w14:paraId="6AD0F49E">
      <w:pPr>
        <w:pageBreakBefore w:val="0"/>
        <w:kinsoku/>
        <w:overflowPunct/>
        <w:topLinePunct w:val="0"/>
        <w:bidi w:val="0"/>
        <w:spacing w:line="360" w:lineRule="auto"/>
        <w:ind w:left="0" w:leftChars="0" w:right="0" w:rightChars="0" w:firstLine="480" w:firstLineChars="200"/>
        <w:jc w:val="right"/>
        <w:textAlignment w:val="auto"/>
        <w:rPr>
          <w:rFonts w:hint="eastAsia" w:asciiTheme="minorEastAsia" w:hAnsiTheme="minorEastAsia" w:eastAsiaTheme="minorEastAsia" w:cstheme="minorEastAsia"/>
          <w:bCs/>
          <w:color w:val="auto"/>
          <w:sz w:val="24"/>
          <w:szCs w:val="24"/>
          <w:highlight w:val="none"/>
          <w:lang w:eastAsia="en-US" w:bidi="zh-CN"/>
        </w:rPr>
      </w:pPr>
      <w:r>
        <w:rPr>
          <w:rFonts w:hint="eastAsia" w:asciiTheme="minorEastAsia" w:hAnsiTheme="minorEastAsia" w:eastAsiaTheme="minorEastAsia" w:cstheme="minorEastAsia"/>
          <w:bCs/>
          <w:color w:val="auto"/>
          <w:sz w:val="24"/>
          <w:szCs w:val="24"/>
          <w:highlight w:val="none"/>
          <w:lang w:eastAsia="en-US" w:bidi="zh-CN"/>
        </w:rPr>
        <w:t>投标人签章：</w:t>
      </w:r>
      <w:r>
        <w:rPr>
          <w:rFonts w:hint="eastAsia" w:asciiTheme="minorEastAsia" w:hAnsiTheme="minorEastAsia" w:eastAsiaTheme="minorEastAsia" w:cstheme="minorEastAsia"/>
          <w:bCs/>
          <w:color w:val="auto"/>
          <w:sz w:val="24"/>
          <w:szCs w:val="24"/>
          <w:highlight w:val="none"/>
          <w:u w:val="single"/>
          <w:lang w:eastAsia="en-US" w:bidi="zh-CN"/>
        </w:rPr>
        <w:t xml:space="preserve"> </w:t>
      </w:r>
      <w:r>
        <w:rPr>
          <w:rFonts w:hint="eastAsia" w:asciiTheme="minorEastAsia" w:hAnsiTheme="minorEastAsia" w:eastAsiaTheme="minorEastAsia" w:cstheme="minorEastAsia"/>
          <w:bCs/>
          <w:color w:val="auto"/>
          <w:sz w:val="24"/>
          <w:szCs w:val="24"/>
          <w:highlight w:val="none"/>
          <w:u w:val="single"/>
          <w:lang w:val="en-US" w:eastAsia="en-US" w:bidi="zh-CN"/>
        </w:rPr>
        <w:t xml:space="preserve">        </w:t>
      </w:r>
      <w:r>
        <w:rPr>
          <w:rFonts w:hint="eastAsia" w:asciiTheme="minorEastAsia" w:hAnsiTheme="minorEastAsia" w:eastAsiaTheme="minorEastAsia" w:cstheme="minorEastAsia"/>
          <w:bCs/>
          <w:color w:val="auto"/>
          <w:sz w:val="24"/>
          <w:szCs w:val="24"/>
          <w:highlight w:val="none"/>
          <w:u w:val="single"/>
          <w:lang w:eastAsia="en-US" w:bidi="zh-CN"/>
        </w:rPr>
        <w:tab/>
      </w:r>
      <w:r>
        <w:rPr>
          <w:rFonts w:hint="eastAsia" w:asciiTheme="minorEastAsia" w:hAnsiTheme="minorEastAsia" w:eastAsiaTheme="minorEastAsia" w:cstheme="minorEastAsia"/>
          <w:bCs/>
          <w:color w:val="auto"/>
          <w:sz w:val="24"/>
          <w:szCs w:val="24"/>
          <w:highlight w:val="none"/>
          <w:u w:val="single"/>
          <w:lang w:eastAsia="en-US" w:bidi="zh-CN"/>
        </w:rPr>
        <w:t xml:space="preserve"> </w:t>
      </w:r>
    </w:p>
    <w:p w14:paraId="607710E9">
      <w:pPr>
        <w:pageBreakBefore w:val="0"/>
        <w:kinsoku/>
        <w:overflowPunct/>
        <w:topLinePunct w:val="0"/>
        <w:bidi w:val="0"/>
        <w:spacing w:line="360" w:lineRule="auto"/>
        <w:ind w:left="0" w:leftChars="0" w:right="0" w:rightChars="0" w:firstLine="480" w:firstLineChars="200"/>
        <w:jc w:val="right"/>
        <w:textAlignment w:val="auto"/>
        <w:rPr>
          <w:rFonts w:hint="eastAsia" w:asciiTheme="minorEastAsia" w:hAnsiTheme="minorEastAsia" w:eastAsiaTheme="minorEastAsia" w:cstheme="minorEastAsia"/>
          <w:bCs/>
          <w:color w:val="auto"/>
          <w:sz w:val="24"/>
          <w:szCs w:val="24"/>
          <w:highlight w:val="none"/>
          <w:lang w:eastAsia="en-US" w:bidi="zh-CN"/>
        </w:rPr>
      </w:pPr>
      <w:r>
        <w:rPr>
          <w:rFonts w:hint="eastAsia" w:asciiTheme="minorEastAsia" w:hAnsiTheme="minorEastAsia" w:eastAsiaTheme="minorEastAsia" w:cstheme="minorEastAsia"/>
          <w:bCs/>
          <w:color w:val="auto"/>
          <w:sz w:val="24"/>
          <w:szCs w:val="24"/>
          <w:highlight w:val="none"/>
          <w:lang w:eastAsia="en-US" w:bidi="zh-CN"/>
        </w:rPr>
        <w:t>日</w:t>
      </w:r>
      <w:r>
        <w:rPr>
          <w:rFonts w:hint="eastAsia" w:asciiTheme="minorEastAsia" w:hAnsiTheme="minorEastAsia" w:eastAsiaTheme="minorEastAsia" w:cstheme="minorEastAsia"/>
          <w:bCs/>
          <w:color w:val="auto"/>
          <w:sz w:val="24"/>
          <w:szCs w:val="24"/>
          <w:highlight w:val="none"/>
          <w:lang w:eastAsia="en-US" w:bidi="zh-CN"/>
        </w:rPr>
        <w:tab/>
      </w:r>
      <w:r>
        <w:rPr>
          <w:rFonts w:hint="eastAsia" w:asciiTheme="minorEastAsia" w:hAnsiTheme="minorEastAsia" w:eastAsiaTheme="minorEastAsia" w:cstheme="minorEastAsia"/>
          <w:bCs/>
          <w:color w:val="auto"/>
          <w:sz w:val="24"/>
          <w:szCs w:val="24"/>
          <w:highlight w:val="none"/>
          <w:lang w:eastAsia="en-US" w:bidi="zh-CN"/>
        </w:rPr>
        <w:t>期：</w:t>
      </w:r>
      <w:r>
        <w:rPr>
          <w:rFonts w:hint="eastAsia" w:asciiTheme="minorEastAsia" w:hAnsiTheme="minorEastAsia" w:eastAsiaTheme="minorEastAsia" w:cstheme="minorEastAsia"/>
          <w:bCs/>
          <w:color w:val="auto"/>
          <w:sz w:val="24"/>
          <w:szCs w:val="24"/>
          <w:highlight w:val="none"/>
          <w:u w:val="single"/>
          <w:lang w:eastAsia="en-US" w:bidi="zh-CN"/>
        </w:rPr>
        <w:t xml:space="preserve"> </w:t>
      </w:r>
      <w:r>
        <w:rPr>
          <w:rFonts w:hint="eastAsia" w:asciiTheme="minorEastAsia" w:hAnsiTheme="minorEastAsia" w:eastAsiaTheme="minorEastAsia" w:cstheme="minorEastAsia"/>
          <w:bCs/>
          <w:color w:val="auto"/>
          <w:sz w:val="24"/>
          <w:szCs w:val="24"/>
          <w:highlight w:val="none"/>
          <w:u w:val="single"/>
          <w:lang w:val="en-US" w:eastAsia="en-US" w:bidi="zh-CN"/>
        </w:rPr>
        <w:t xml:space="preserve">            </w:t>
      </w:r>
      <w:r>
        <w:rPr>
          <w:rFonts w:hint="eastAsia" w:asciiTheme="minorEastAsia" w:hAnsiTheme="minorEastAsia" w:eastAsiaTheme="minorEastAsia" w:cstheme="minorEastAsia"/>
          <w:bCs/>
          <w:color w:val="auto"/>
          <w:sz w:val="24"/>
          <w:szCs w:val="24"/>
          <w:highlight w:val="none"/>
          <w:lang w:eastAsia="en-US" w:bidi="zh-CN"/>
        </w:rPr>
        <w:tab/>
      </w:r>
    </w:p>
    <w:p w14:paraId="6A50D288">
      <w:pPr>
        <w:pageBreakBefore w:val="0"/>
        <w:kinsoku/>
        <w:overflowPunct/>
        <w:topLinePunct w:val="0"/>
        <w:bidi w:val="0"/>
        <w:spacing w:line="360" w:lineRule="auto"/>
        <w:ind w:left="0" w:leftChars="0" w:right="0" w:rightChars="0" w:firstLine="0" w:firstLineChars="0"/>
        <w:textAlignment w:val="auto"/>
        <w:rPr>
          <w:rFonts w:hint="eastAsia" w:asciiTheme="minorEastAsia" w:hAnsiTheme="minorEastAsia" w:eastAsiaTheme="minorEastAsia" w:cstheme="minorEastAsia"/>
          <w:bCs/>
          <w:color w:val="auto"/>
          <w:sz w:val="24"/>
          <w:szCs w:val="24"/>
          <w:highlight w:val="none"/>
          <w:lang w:eastAsia="en-US" w:bidi="zh-CN"/>
        </w:rPr>
      </w:pPr>
    </w:p>
    <w:p w14:paraId="5B5261C2">
      <w:pPr>
        <w:pageBreakBefore w:val="0"/>
        <w:kinsoku/>
        <w:overflowPunct/>
        <w:topLinePunct w:val="0"/>
        <w:bidi w:val="0"/>
        <w:spacing w:line="360" w:lineRule="auto"/>
        <w:ind w:left="0" w:leftChars="0" w:right="0" w:rightChars="0" w:firstLine="0" w:firstLineChars="0"/>
        <w:textAlignment w:val="auto"/>
        <w:rPr>
          <w:rFonts w:hint="eastAsia" w:asciiTheme="minorEastAsia" w:hAnsiTheme="minorEastAsia" w:eastAsiaTheme="minorEastAsia" w:cstheme="minorEastAsia"/>
          <w:bCs/>
          <w:color w:val="auto"/>
          <w:sz w:val="24"/>
          <w:szCs w:val="24"/>
          <w:highlight w:val="none"/>
          <w:lang w:eastAsia="en-US" w:bidi="zh-CN"/>
        </w:rPr>
      </w:pPr>
      <w:r>
        <w:rPr>
          <w:rFonts w:hint="eastAsia" w:asciiTheme="minorEastAsia" w:hAnsiTheme="minorEastAsia" w:eastAsiaTheme="minorEastAsia" w:cstheme="minorEastAsia"/>
          <w:bCs/>
          <w:color w:val="auto"/>
          <w:sz w:val="24"/>
          <w:szCs w:val="24"/>
          <w:highlight w:val="none"/>
          <w:lang w:eastAsia="en-US" w:bidi="zh-CN"/>
        </w:rPr>
        <w:t>备注：</w:t>
      </w:r>
    </w:p>
    <w:p w14:paraId="51ABA1A3">
      <w:pPr>
        <w:pageBreakBefore w:val="0"/>
        <w:kinsoku/>
        <w:overflowPunct/>
        <w:topLinePunct w:val="0"/>
        <w:autoSpaceDE/>
        <w:autoSpaceDN/>
        <w:bidi w:val="0"/>
        <w:spacing w:line="360" w:lineRule="auto"/>
        <w:ind w:left="0" w:leftChars="0" w:right="0" w:rightChars="0" w:firstLine="0" w:firstLineChars="0"/>
        <w:textAlignment w:val="auto"/>
        <w:rPr>
          <w:rFonts w:hint="eastAsia" w:asciiTheme="minorEastAsia" w:hAnsiTheme="minorEastAsia" w:eastAsiaTheme="minorEastAsia" w:cstheme="minorEastAsia"/>
          <w:bCs/>
          <w:color w:val="auto"/>
          <w:sz w:val="24"/>
          <w:szCs w:val="24"/>
          <w:highlight w:val="none"/>
          <w:lang w:eastAsia="en-US" w:bidi="zh-CN"/>
        </w:rPr>
      </w:pPr>
      <w:r>
        <w:rPr>
          <w:rFonts w:hint="eastAsia" w:asciiTheme="minorEastAsia" w:hAnsiTheme="minorEastAsia" w:eastAsiaTheme="minorEastAsia" w:cstheme="minorEastAsia"/>
          <w:bCs/>
          <w:color w:val="auto"/>
          <w:sz w:val="24"/>
          <w:szCs w:val="24"/>
          <w:highlight w:val="none"/>
          <w:lang w:val="en-US" w:eastAsia="en-US" w:bidi="zh-CN"/>
        </w:rPr>
        <w:t>1.</w:t>
      </w:r>
      <w:r>
        <w:rPr>
          <w:rFonts w:hint="eastAsia" w:asciiTheme="minorEastAsia" w:hAnsiTheme="minorEastAsia" w:eastAsiaTheme="minorEastAsia" w:cstheme="minorEastAsia"/>
          <w:bCs/>
          <w:color w:val="auto"/>
          <w:sz w:val="24"/>
          <w:szCs w:val="24"/>
          <w:highlight w:val="none"/>
          <w:lang w:eastAsia="en-US" w:bidi="zh-CN"/>
        </w:rPr>
        <w:t>表中所列内容为满足本项目要求的主要中标标的；</w:t>
      </w:r>
    </w:p>
    <w:p w14:paraId="05970E31">
      <w:pPr>
        <w:pageBreakBefore w:val="0"/>
        <w:kinsoku/>
        <w:overflowPunct/>
        <w:topLinePunct w:val="0"/>
        <w:autoSpaceDE/>
        <w:autoSpaceDN/>
        <w:bidi w:val="0"/>
        <w:spacing w:line="360" w:lineRule="auto"/>
        <w:ind w:left="0" w:leftChars="0" w:right="0" w:rightChars="0" w:firstLine="0" w:firstLineChars="0"/>
        <w:textAlignment w:val="auto"/>
        <w:rPr>
          <w:rFonts w:hint="eastAsia" w:asciiTheme="minorEastAsia" w:hAnsiTheme="minorEastAsia" w:eastAsiaTheme="minorEastAsia" w:cstheme="minorEastAsia"/>
          <w:bCs/>
          <w:color w:val="auto"/>
          <w:sz w:val="24"/>
          <w:szCs w:val="24"/>
          <w:highlight w:val="none"/>
          <w:lang w:eastAsia="en-US" w:bidi="zh-CN"/>
        </w:rPr>
      </w:pPr>
      <w:r>
        <w:rPr>
          <w:rFonts w:hint="eastAsia" w:asciiTheme="minorEastAsia" w:hAnsiTheme="minorEastAsia" w:eastAsiaTheme="minorEastAsia" w:cstheme="minorEastAsia"/>
          <w:bCs/>
          <w:color w:val="auto"/>
          <w:spacing w:val="0"/>
          <w:sz w:val="24"/>
          <w:szCs w:val="24"/>
          <w:highlight w:val="none"/>
          <w:lang w:val="en-US" w:eastAsia="en-US" w:bidi="zh-CN"/>
        </w:rPr>
        <w:t>2.</w:t>
      </w:r>
      <w:r>
        <w:rPr>
          <w:rFonts w:hint="eastAsia" w:asciiTheme="minorEastAsia" w:hAnsiTheme="minorEastAsia" w:eastAsiaTheme="minorEastAsia" w:cstheme="minorEastAsia"/>
          <w:bCs/>
          <w:color w:val="auto"/>
          <w:spacing w:val="0"/>
          <w:sz w:val="24"/>
          <w:szCs w:val="24"/>
          <w:highlight w:val="none"/>
          <w:lang w:eastAsia="en-US" w:bidi="zh-CN"/>
        </w:rPr>
        <w:t>中标人提供的以上承诺情况</w:t>
      </w:r>
      <w:r>
        <w:rPr>
          <w:rFonts w:hint="eastAsia" w:asciiTheme="minorEastAsia" w:hAnsiTheme="minorEastAsia" w:eastAsiaTheme="minorEastAsia" w:cstheme="minorEastAsia"/>
          <w:bCs/>
          <w:color w:val="auto"/>
          <w:sz w:val="24"/>
          <w:szCs w:val="24"/>
          <w:highlight w:val="none"/>
          <w:lang w:eastAsia="en-US" w:bidi="zh-CN"/>
        </w:rPr>
        <w:t>（</w:t>
      </w:r>
      <w:r>
        <w:rPr>
          <w:rFonts w:hint="eastAsia" w:asciiTheme="minorEastAsia" w:hAnsiTheme="minorEastAsia" w:eastAsiaTheme="minorEastAsia" w:cstheme="minorEastAsia"/>
          <w:bCs/>
          <w:color w:val="auto"/>
          <w:spacing w:val="0"/>
          <w:sz w:val="24"/>
          <w:szCs w:val="24"/>
          <w:highlight w:val="none"/>
          <w:lang w:eastAsia="en-US" w:bidi="zh-CN"/>
        </w:rPr>
        <w:t>含</w:t>
      </w:r>
      <w:r>
        <w:rPr>
          <w:rFonts w:hint="eastAsia" w:asciiTheme="minorEastAsia" w:hAnsiTheme="minorEastAsia" w:eastAsiaTheme="minorEastAsia" w:cstheme="minorEastAsia"/>
          <w:bCs/>
          <w:color w:val="auto"/>
          <w:spacing w:val="0"/>
          <w:sz w:val="24"/>
          <w:szCs w:val="24"/>
          <w:highlight w:val="none"/>
          <w:lang w:val="en-US" w:eastAsia="en-US" w:bidi="zh-CN"/>
        </w:rPr>
        <w:t>服务</w:t>
      </w:r>
      <w:r>
        <w:rPr>
          <w:rFonts w:hint="eastAsia" w:asciiTheme="minorEastAsia" w:hAnsiTheme="minorEastAsia" w:eastAsiaTheme="minorEastAsia" w:cstheme="minorEastAsia"/>
          <w:bCs/>
          <w:color w:val="auto"/>
          <w:spacing w:val="0"/>
          <w:sz w:val="24"/>
          <w:szCs w:val="24"/>
          <w:highlight w:val="none"/>
          <w:lang w:eastAsia="en-US" w:bidi="zh-CN"/>
        </w:rPr>
        <w:t>名称、</w:t>
      </w:r>
      <w:r>
        <w:rPr>
          <w:rFonts w:hint="eastAsia" w:asciiTheme="minorEastAsia" w:hAnsiTheme="minorEastAsia" w:eastAsiaTheme="minorEastAsia" w:cstheme="minorEastAsia"/>
          <w:color w:val="auto"/>
          <w:sz w:val="24"/>
          <w:szCs w:val="24"/>
          <w:highlight w:val="none"/>
          <w:lang w:val="en-US" w:eastAsia="zh-CN"/>
        </w:rPr>
        <w:t>服务范围</w:t>
      </w:r>
      <w:r>
        <w:rPr>
          <w:rFonts w:hint="eastAsia" w:asciiTheme="minorEastAsia" w:hAnsiTheme="minorEastAsia" w:eastAsiaTheme="minorEastAsia" w:cstheme="minorEastAsia"/>
          <w:bCs/>
          <w:color w:val="auto"/>
          <w:spacing w:val="0"/>
          <w:sz w:val="24"/>
          <w:szCs w:val="24"/>
          <w:highlight w:val="none"/>
          <w:lang w:eastAsia="en-US" w:bidi="zh-CN"/>
        </w:rPr>
        <w:t>、</w:t>
      </w:r>
      <w:r>
        <w:rPr>
          <w:rFonts w:hint="eastAsia" w:asciiTheme="minorEastAsia" w:hAnsiTheme="minorEastAsia" w:eastAsiaTheme="minorEastAsia" w:cstheme="minorEastAsia"/>
          <w:color w:val="auto"/>
          <w:sz w:val="24"/>
          <w:szCs w:val="24"/>
          <w:highlight w:val="none"/>
          <w:lang w:val="en-US" w:eastAsia="zh-CN"/>
        </w:rPr>
        <w:t>服务要求</w:t>
      </w:r>
      <w:r>
        <w:rPr>
          <w:rFonts w:hint="eastAsia" w:asciiTheme="minorEastAsia" w:hAnsiTheme="minorEastAsia" w:eastAsiaTheme="minorEastAsia" w:cstheme="minorEastAsia"/>
          <w:bCs/>
          <w:color w:val="auto"/>
          <w:spacing w:val="0"/>
          <w:sz w:val="24"/>
          <w:szCs w:val="24"/>
          <w:highlight w:val="none"/>
          <w:lang w:eastAsia="en-US" w:bidi="zh-CN"/>
        </w:rPr>
        <w:t>、</w:t>
      </w:r>
      <w:r>
        <w:rPr>
          <w:rFonts w:hint="eastAsia" w:asciiTheme="minorEastAsia" w:hAnsiTheme="minorEastAsia" w:eastAsiaTheme="minorEastAsia" w:cstheme="minorEastAsia"/>
          <w:color w:val="auto"/>
          <w:sz w:val="24"/>
          <w:szCs w:val="24"/>
          <w:highlight w:val="none"/>
          <w:lang w:val="en-US" w:eastAsia="zh-CN"/>
        </w:rPr>
        <w:t>服务时间</w:t>
      </w:r>
      <w:r>
        <w:rPr>
          <w:rFonts w:hint="eastAsia" w:asciiTheme="minorEastAsia" w:hAnsiTheme="minorEastAsia" w:eastAsiaTheme="minorEastAsia" w:cstheme="minorEastAsia"/>
          <w:bCs/>
          <w:color w:val="auto"/>
          <w:spacing w:val="0"/>
          <w:sz w:val="24"/>
          <w:szCs w:val="24"/>
          <w:highlight w:val="none"/>
          <w:lang w:eastAsia="en-US" w:bidi="zh-CN"/>
        </w:rPr>
        <w:t>、</w:t>
      </w:r>
      <w:r>
        <w:rPr>
          <w:rFonts w:hint="eastAsia" w:asciiTheme="minorEastAsia" w:hAnsiTheme="minorEastAsia" w:eastAsiaTheme="minorEastAsia" w:cstheme="minorEastAsia"/>
          <w:color w:val="auto"/>
          <w:sz w:val="24"/>
          <w:szCs w:val="24"/>
          <w:highlight w:val="none"/>
          <w:lang w:val="en-US" w:eastAsia="zh-CN"/>
        </w:rPr>
        <w:t>服务标准</w:t>
      </w:r>
      <w:r>
        <w:rPr>
          <w:rFonts w:hint="eastAsia" w:asciiTheme="minorEastAsia" w:hAnsiTheme="minorEastAsia" w:eastAsiaTheme="minorEastAsia" w:cstheme="minorEastAsia"/>
          <w:bCs/>
          <w:color w:val="auto"/>
          <w:spacing w:val="0"/>
          <w:sz w:val="24"/>
          <w:szCs w:val="24"/>
          <w:highlight w:val="none"/>
          <w:lang w:eastAsia="en-US" w:bidi="zh-CN"/>
        </w:rPr>
        <w:t>），将按约定随中标公告同时公告。</w:t>
      </w:r>
    </w:p>
    <w:p w14:paraId="6C068608">
      <w:pPr>
        <w:pageBreakBefore w:val="0"/>
        <w:kinsoku/>
        <w:overflowPunct/>
        <w:topLinePunct w:val="0"/>
        <w:bidi w:val="0"/>
        <w:spacing w:line="360" w:lineRule="auto"/>
        <w:ind w:left="0" w:leftChars="0" w:right="0" w:rightChars="0" w:firstLine="0" w:firstLineChars="0"/>
        <w:jc w:val="left"/>
        <w:textAlignment w:val="auto"/>
        <w:outlineLvl w:val="9"/>
        <w:rPr>
          <w:rFonts w:hint="eastAsia" w:asciiTheme="minorEastAsia" w:hAnsiTheme="minorEastAsia" w:eastAsiaTheme="minorEastAsia" w:cstheme="minorEastAsia"/>
          <w:bCs/>
          <w:color w:val="auto"/>
          <w:sz w:val="24"/>
          <w:szCs w:val="24"/>
          <w:highlight w:val="none"/>
          <w:lang w:eastAsia="en-US" w:bidi="zh-CN"/>
        </w:rPr>
      </w:pPr>
      <w:r>
        <w:rPr>
          <w:rFonts w:hint="eastAsia" w:asciiTheme="minorEastAsia" w:hAnsiTheme="minorEastAsia" w:eastAsiaTheme="minorEastAsia" w:cstheme="minorEastAsia"/>
          <w:bCs/>
          <w:color w:val="auto"/>
          <w:sz w:val="24"/>
          <w:szCs w:val="24"/>
          <w:highlight w:val="none"/>
          <w:lang w:val="en-US" w:eastAsia="en-US" w:bidi="zh-CN"/>
        </w:rPr>
        <w:t>3.</w:t>
      </w:r>
      <w:r>
        <w:rPr>
          <w:rFonts w:hint="eastAsia" w:asciiTheme="minorEastAsia" w:hAnsiTheme="minorEastAsia" w:eastAsiaTheme="minorEastAsia" w:cstheme="minorEastAsia"/>
          <w:bCs/>
          <w:color w:val="auto"/>
          <w:sz w:val="24"/>
          <w:szCs w:val="24"/>
          <w:highlight w:val="none"/>
          <w:lang w:eastAsia="en-US" w:bidi="zh-CN"/>
        </w:rPr>
        <w:t>本页《主要中标标的承诺函》由投标人准确填写。</w:t>
      </w:r>
    </w:p>
    <w:p w14:paraId="15B89572">
      <w:pPr>
        <w:pageBreakBefore w:val="0"/>
        <w:kinsoku/>
        <w:overflowPunct/>
        <w:topLinePunct w:val="0"/>
        <w:bidi w:val="0"/>
        <w:spacing w:line="360" w:lineRule="auto"/>
        <w:ind w:left="0" w:leftChars="0" w:right="0" w:rightChars="0"/>
        <w:jc w:val="left"/>
        <w:textAlignment w:val="auto"/>
        <w:outlineLvl w:val="9"/>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br w:type="page"/>
      </w:r>
    </w:p>
    <w:p w14:paraId="0B838A49">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九、其他相关证明材料</w:t>
      </w:r>
      <w:bookmarkEnd w:id="335"/>
      <w:bookmarkEnd w:id="336"/>
      <w:bookmarkEnd w:id="337"/>
    </w:p>
    <w:p w14:paraId="135FAE05">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提供符合</w:t>
      </w:r>
      <w:r>
        <w:rPr>
          <w:rFonts w:hint="eastAsia" w:asciiTheme="minorEastAsia" w:hAnsiTheme="minorEastAsia" w:eastAsiaTheme="minorEastAsia" w:cstheme="minorEastAsia"/>
          <w:color w:val="auto"/>
          <w:sz w:val="24"/>
          <w:highlight w:val="none"/>
          <w:lang w:val="en-US" w:eastAsia="zh-CN"/>
        </w:rPr>
        <w:t>招标公告</w:t>
      </w:r>
      <w:r>
        <w:rPr>
          <w:rFonts w:hint="eastAsia" w:asciiTheme="minorEastAsia" w:hAnsiTheme="minorEastAsia" w:eastAsiaTheme="minorEastAsia" w:cstheme="minorEastAsia"/>
          <w:color w:val="auto"/>
          <w:sz w:val="24"/>
          <w:highlight w:val="none"/>
        </w:rPr>
        <w:t>、采购需求及评标方法和标准规定的相关证明文件。</w:t>
      </w:r>
    </w:p>
    <w:p w14:paraId="2CBFB48D">
      <w:pPr>
        <w:pageBreakBefore w:val="0"/>
        <w:kinsoku/>
        <w:overflowPunct/>
        <w:topLinePunct w:val="0"/>
        <w:bidi w:val="0"/>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highlight w:val="none"/>
        </w:rPr>
      </w:pPr>
    </w:p>
    <w:p w14:paraId="07565C9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特别提示：</w:t>
      </w:r>
    </w:p>
    <w:p w14:paraId="1DD815F1">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投标人在投标文件制作时可在此栏内上传招标文件要求上传的证明资料，如营业执照、证书等，应将上述证明材料制作成</w:t>
      </w:r>
      <w:r>
        <w:rPr>
          <w:rFonts w:hint="eastAsia" w:asciiTheme="minorEastAsia" w:hAnsiTheme="minorEastAsia" w:eastAsiaTheme="minorEastAsia" w:cstheme="minorEastAsia"/>
          <w:color w:val="auto"/>
          <w:sz w:val="24"/>
          <w:highlight w:val="none"/>
          <w:lang w:eastAsia="zh-CN"/>
        </w:rPr>
        <w:t>复制件</w:t>
      </w:r>
      <w:r>
        <w:rPr>
          <w:rFonts w:hint="eastAsia" w:asciiTheme="minorEastAsia" w:hAnsiTheme="minorEastAsia" w:eastAsiaTheme="minorEastAsia" w:cstheme="minorEastAsia"/>
          <w:color w:val="auto"/>
          <w:sz w:val="24"/>
          <w:highlight w:val="none"/>
        </w:rPr>
        <w:t>上传。</w:t>
      </w:r>
    </w:p>
    <w:p w14:paraId="6CF2A947">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br w:type="page"/>
      </w:r>
    </w:p>
    <w:p w14:paraId="5D3BF350">
      <w:pPr>
        <w:keepNext w:val="0"/>
        <w:keepLines w:val="0"/>
        <w:pageBreakBefore w:val="0"/>
        <w:widowControl/>
        <w:shd w:val="clear" w:color="auto" w:fill="FFFFFF"/>
        <w:kinsoku/>
        <w:wordWrap/>
        <w:overflowPunct/>
        <w:topLinePunct w:val="0"/>
        <w:autoSpaceDE/>
        <w:autoSpaceDN/>
        <w:bidi w:val="0"/>
        <w:adjustRightInd/>
        <w:snapToGrid/>
        <w:spacing w:line="360" w:lineRule="auto"/>
        <w:ind w:left="0" w:leftChars="0" w:right="0" w:rightChars="0"/>
        <w:jc w:val="center"/>
        <w:textAlignment w:val="auto"/>
        <w:outlineLvl w:val="0"/>
        <w:rPr>
          <w:rStyle w:val="19"/>
          <w:rFonts w:hint="eastAsia" w:asciiTheme="minorEastAsia" w:hAnsiTheme="minorEastAsia" w:eastAsiaTheme="minorEastAsia" w:cstheme="minorEastAsia"/>
          <w:color w:val="auto"/>
          <w:kern w:val="44"/>
          <w:sz w:val="44"/>
          <w:szCs w:val="44"/>
          <w:highlight w:val="none"/>
          <w:lang w:val="en-US" w:eastAsia="zh-CN" w:bidi="ar-SA"/>
        </w:rPr>
      </w:pPr>
      <w:bookmarkStart w:id="338" w:name="_Toc8550"/>
      <w:bookmarkStart w:id="339" w:name="_Toc31218"/>
      <w:bookmarkStart w:id="340" w:name="_Toc17984"/>
      <w:bookmarkStart w:id="341" w:name="_Toc25399"/>
      <w:bookmarkStart w:id="342" w:name="_Toc14853"/>
      <w:bookmarkStart w:id="343" w:name="_Toc6732"/>
      <w:bookmarkStart w:id="344" w:name="_Toc13549"/>
      <w:r>
        <w:rPr>
          <w:rStyle w:val="19"/>
          <w:rFonts w:hint="eastAsia" w:asciiTheme="minorEastAsia" w:hAnsiTheme="minorEastAsia" w:eastAsiaTheme="minorEastAsia" w:cstheme="minorEastAsia"/>
          <w:color w:val="auto"/>
          <w:kern w:val="44"/>
          <w:sz w:val="44"/>
          <w:szCs w:val="44"/>
          <w:highlight w:val="none"/>
          <w:lang w:val="en-US" w:eastAsia="zh-CN" w:bidi="ar-SA"/>
        </w:rPr>
        <w:t xml:space="preserve">第七章  </w:t>
      </w:r>
      <w:bookmarkEnd w:id="338"/>
      <w:bookmarkEnd w:id="339"/>
      <w:bookmarkEnd w:id="340"/>
      <w:bookmarkEnd w:id="341"/>
      <w:bookmarkEnd w:id="342"/>
      <w:bookmarkEnd w:id="343"/>
      <w:bookmarkStart w:id="345" w:name="_Toc29266"/>
      <w:bookmarkStart w:id="346" w:name="_Toc6435"/>
      <w:bookmarkStart w:id="347" w:name="_Toc10030"/>
      <w:bookmarkStart w:id="348" w:name="_Toc18131"/>
      <w:r>
        <w:rPr>
          <w:rStyle w:val="19"/>
          <w:rFonts w:hint="eastAsia" w:asciiTheme="minorEastAsia" w:hAnsiTheme="minorEastAsia" w:eastAsiaTheme="minorEastAsia" w:cstheme="minorEastAsia"/>
          <w:color w:val="auto"/>
          <w:kern w:val="44"/>
          <w:sz w:val="44"/>
          <w:szCs w:val="44"/>
          <w:highlight w:val="none"/>
          <w:lang w:val="en-US" w:eastAsia="zh-CN" w:bidi="ar-SA"/>
        </w:rPr>
        <w:t>供应商询问函和质疑函范本</w:t>
      </w:r>
      <w:bookmarkEnd w:id="344"/>
      <w:bookmarkEnd w:id="345"/>
      <w:bookmarkEnd w:id="346"/>
      <w:bookmarkEnd w:id="347"/>
      <w:bookmarkEnd w:id="348"/>
    </w:p>
    <w:p w14:paraId="54EE2A06">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bCs/>
          <w:color w:val="auto"/>
          <w:sz w:val="32"/>
          <w:szCs w:val="44"/>
          <w:highlight w:val="none"/>
        </w:rPr>
      </w:pPr>
      <w:bookmarkStart w:id="349" w:name="_Toc4351"/>
      <w:bookmarkStart w:id="350" w:name="_Toc24946"/>
      <w:bookmarkStart w:id="351" w:name="_Toc27159"/>
      <w:bookmarkStart w:id="352" w:name="_Toc15033"/>
      <w:bookmarkStart w:id="353" w:name="_Toc27489"/>
      <w:r>
        <w:rPr>
          <w:rFonts w:hint="eastAsia" w:asciiTheme="minorEastAsia" w:hAnsiTheme="minorEastAsia" w:eastAsiaTheme="minorEastAsia" w:cstheme="minorEastAsia"/>
          <w:b/>
          <w:bCs/>
          <w:color w:val="auto"/>
          <w:sz w:val="32"/>
          <w:szCs w:val="44"/>
          <w:highlight w:val="none"/>
        </w:rPr>
        <w:t>询问函范本</w:t>
      </w:r>
      <w:bookmarkEnd w:id="349"/>
      <w:bookmarkEnd w:id="350"/>
      <w:bookmarkEnd w:id="351"/>
      <w:bookmarkEnd w:id="352"/>
      <w:bookmarkEnd w:id="353"/>
    </w:p>
    <w:p w14:paraId="0D98E741">
      <w:pPr>
        <w:pageBreakBefore w:val="0"/>
        <w:kinsoku/>
        <w:overflowPunct/>
        <w:topLinePunct w:val="0"/>
        <w:bidi w:val="0"/>
        <w:adjustRightInd w:val="0"/>
        <w:snapToGrid w:val="0"/>
        <w:spacing w:line="360" w:lineRule="auto"/>
        <w:ind w:left="0" w:leftChars="0" w:right="0" w:rightChars="0" w:firstLine="480" w:firstLineChars="200"/>
        <w:jc w:val="center"/>
        <w:textAlignment w:val="auto"/>
        <w:rPr>
          <w:rFonts w:hint="eastAsia" w:asciiTheme="minorEastAsia" w:hAnsiTheme="minorEastAsia" w:eastAsiaTheme="minorEastAsia" w:cstheme="minorEastAsia"/>
          <w:b/>
          <w:bCs/>
          <w:color w:val="auto"/>
          <w:sz w:val="32"/>
          <w:szCs w:val="44"/>
          <w:highlight w:val="none"/>
        </w:rPr>
      </w:pPr>
      <w:r>
        <w:rPr>
          <w:rFonts w:hint="eastAsia" w:asciiTheme="minorEastAsia" w:hAnsiTheme="minorEastAsia" w:eastAsiaTheme="minorEastAsia" w:cstheme="minorEastAsia"/>
          <w:i/>
          <w:iCs/>
          <w:color w:val="auto"/>
          <w:sz w:val="24"/>
          <w:szCs w:val="24"/>
          <w:highlight w:val="none"/>
        </w:rPr>
        <w:t>（如为对采购文件或采购程序的询问或疑问，请按询问函范本进行提交）</w:t>
      </w:r>
    </w:p>
    <w:p w14:paraId="0CE64001">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b/>
          <w:bCs/>
          <w:color w:val="auto"/>
          <w:sz w:val="24"/>
          <w:szCs w:val="24"/>
          <w:highlight w:val="none"/>
          <w:u w:val="single"/>
          <w:lang w:eastAsia="zh-CN"/>
        </w:rPr>
      </w:pPr>
      <w:r>
        <w:rPr>
          <w:rFonts w:hint="eastAsia" w:asciiTheme="minorEastAsia" w:hAnsiTheme="minorEastAsia" w:eastAsiaTheme="minorEastAsia" w:cstheme="minorEastAsia"/>
          <w:b/>
          <w:bCs/>
          <w:color w:val="auto"/>
          <w:sz w:val="24"/>
          <w:szCs w:val="24"/>
          <w:highlight w:val="none"/>
          <w:lang w:val="en-US" w:eastAsia="zh-CN"/>
        </w:rPr>
        <w:t>致：</w:t>
      </w:r>
      <w:r>
        <w:rPr>
          <w:rFonts w:hint="eastAsia" w:asciiTheme="minorEastAsia" w:hAnsiTheme="minorEastAsia" w:eastAsiaTheme="minorEastAsia" w:cstheme="minorEastAsia"/>
          <w:b/>
          <w:bCs/>
          <w:color w:val="auto"/>
          <w:sz w:val="24"/>
          <w:szCs w:val="24"/>
          <w:highlight w:val="none"/>
          <w:u w:val="none"/>
          <w:lang w:eastAsia="zh-CN"/>
        </w:rPr>
        <w:t>采购人</w:t>
      </w:r>
    </w:p>
    <w:p w14:paraId="5C2D272E">
      <w:pPr>
        <w:pageBreakBefore w:val="0"/>
        <w:kinsoku/>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我单位拟参与</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none"/>
          <w:lang w:val="en-US" w:eastAsia="zh-CN"/>
        </w:rPr>
        <w:t>（</w:t>
      </w:r>
      <w:r>
        <w:rPr>
          <w:rFonts w:hint="eastAsia" w:asciiTheme="minorEastAsia" w:hAnsiTheme="minorEastAsia" w:eastAsiaTheme="minorEastAsia" w:cstheme="minorEastAsia"/>
          <w:i/>
          <w:iCs/>
          <w:color w:val="auto"/>
          <w:sz w:val="24"/>
          <w:szCs w:val="24"/>
          <w:highlight w:val="none"/>
          <w:u w:val="none"/>
          <w:lang w:val="en-US" w:eastAsia="zh-CN"/>
        </w:rPr>
        <w:t>项目名称、编号</w:t>
      </w:r>
      <w:r>
        <w:rPr>
          <w:rFonts w:hint="eastAsia" w:asciiTheme="minorEastAsia" w:hAnsiTheme="minorEastAsia" w:eastAsiaTheme="minorEastAsia" w:cstheme="minorEastAsia"/>
          <w:color w:val="auto"/>
          <w:sz w:val="24"/>
          <w:szCs w:val="24"/>
          <w:highlight w:val="none"/>
          <w:u w:val="none"/>
          <w:lang w:val="en-US" w:eastAsia="zh-CN"/>
        </w:rPr>
        <w:t>）</w:t>
      </w:r>
      <w:r>
        <w:rPr>
          <w:rFonts w:hint="eastAsia" w:asciiTheme="minorEastAsia" w:hAnsiTheme="minorEastAsia" w:eastAsiaTheme="minorEastAsia" w:cstheme="minorEastAsia"/>
          <w:color w:val="auto"/>
          <w:sz w:val="24"/>
          <w:szCs w:val="24"/>
          <w:highlight w:val="none"/>
        </w:rPr>
        <w:t>的采购活动，现有以下内容(或条款)存在疑问(或无法理解)，特提出询问。</w:t>
      </w:r>
    </w:p>
    <w:p w14:paraId="05E27589">
      <w:pPr>
        <w:pageBreakBefore w:val="0"/>
        <w:kinsoku/>
        <w:overflowPunct/>
        <w:topLinePunct w:val="0"/>
        <w:bidi w:val="0"/>
        <w:adjustRightInd w:val="0"/>
        <w:snapToGrid w:val="0"/>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color w:val="auto"/>
          <w:sz w:val="24"/>
          <w:szCs w:val="24"/>
          <w:highlight w:val="none"/>
        </w:rPr>
      </w:pPr>
      <w:bookmarkStart w:id="354" w:name="_Toc13899"/>
      <w:r>
        <w:rPr>
          <w:rFonts w:hint="eastAsia" w:asciiTheme="minorEastAsia" w:hAnsiTheme="minorEastAsia" w:eastAsiaTheme="minorEastAsia" w:cstheme="minorEastAsia"/>
          <w:color w:val="auto"/>
          <w:sz w:val="24"/>
          <w:szCs w:val="24"/>
          <w:highlight w:val="none"/>
        </w:rPr>
        <w:t>一、(事项一)</w:t>
      </w:r>
      <w:bookmarkEnd w:id="354"/>
    </w:p>
    <w:p w14:paraId="214E8499">
      <w:pPr>
        <w:pageBreakBefore w:val="0"/>
        <w:kinsoku/>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1、(内容或条款)</w:t>
      </w:r>
    </w:p>
    <w:p w14:paraId="6D93B2A7">
      <w:pPr>
        <w:pageBreakBefore w:val="0"/>
        <w:kinsoku/>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2、(说明疑问或无法理解原因)</w:t>
      </w:r>
    </w:p>
    <w:p w14:paraId="0203707C">
      <w:pPr>
        <w:pageBreakBefore w:val="0"/>
        <w:kinsoku/>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3、(建议)</w:t>
      </w:r>
    </w:p>
    <w:p w14:paraId="6F476541">
      <w:pPr>
        <w:pageBreakBefore w:val="0"/>
        <w:kinsoku/>
        <w:overflowPunct/>
        <w:topLinePunct w:val="0"/>
        <w:bidi w:val="0"/>
        <w:adjustRightInd w:val="0"/>
        <w:snapToGrid w:val="0"/>
        <w:spacing w:line="360" w:lineRule="auto"/>
        <w:ind w:left="0" w:leftChars="0" w:right="0" w:rightChars="0" w:firstLine="480" w:firstLineChars="200"/>
        <w:textAlignment w:val="auto"/>
        <w:outlineLvl w:val="9"/>
        <w:rPr>
          <w:rFonts w:hint="eastAsia" w:asciiTheme="minorEastAsia" w:hAnsiTheme="minorEastAsia" w:eastAsiaTheme="minorEastAsia" w:cstheme="minorEastAsia"/>
          <w:color w:val="auto"/>
          <w:sz w:val="24"/>
          <w:szCs w:val="24"/>
          <w:highlight w:val="none"/>
        </w:rPr>
      </w:pPr>
      <w:bookmarkStart w:id="355" w:name="_Toc3352"/>
      <w:r>
        <w:rPr>
          <w:rFonts w:hint="eastAsia" w:asciiTheme="minorEastAsia" w:hAnsiTheme="minorEastAsia" w:eastAsiaTheme="minorEastAsia" w:cstheme="minorEastAsia"/>
          <w:color w:val="auto"/>
          <w:sz w:val="24"/>
          <w:szCs w:val="24"/>
          <w:highlight w:val="none"/>
        </w:rPr>
        <w:t>二、(事项二)</w:t>
      </w:r>
      <w:bookmarkEnd w:id="355"/>
    </w:p>
    <w:p w14:paraId="291D16EF">
      <w:pPr>
        <w:pageBreakBefore w:val="0"/>
        <w:kinsoku/>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39B8853D">
      <w:pPr>
        <w:pageBreakBefore w:val="0"/>
        <w:kinsoku/>
        <w:overflowPunct/>
        <w:topLinePunct w:val="0"/>
        <w:bidi w:val="0"/>
        <w:adjustRightInd w:val="0"/>
        <w:snapToGrid w:val="0"/>
        <w:spacing w:line="360" w:lineRule="auto"/>
        <w:ind w:left="0" w:leftChars="0" w:right="0" w:rightChars="0"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随附相关证明材料如下： </w:t>
      </w:r>
    </w:p>
    <w:p w14:paraId="778B28C5">
      <w:pPr>
        <w:pageBreakBefore w:val="0"/>
        <w:kinsoku/>
        <w:overflowPunct/>
        <w:topLinePunct w:val="0"/>
        <w:bidi w:val="0"/>
        <w:spacing w:line="360" w:lineRule="auto"/>
        <w:ind w:left="0" w:leftChars="0" w:right="0" w:rightChars="0" w:firstLine="4228" w:firstLineChars="1762"/>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联 系 人：</w:t>
      </w:r>
      <w:r>
        <w:rPr>
          <w:rFonts w:hint="eastAsia" w:asciiTheme="minorEastAsia" w:hAnsiTheme="minorEastAsia" w:eastAsiaTheme="minorEastAsia" w:cstheme="minorEastAsia"/>
          <w:color w:val="auto"/>
          <w:sz w:val="24"/>
          <w:highlight w:val="none"/>
          <w:u w:val="single"/>
        </w:rPr>
        <w:t xml:space="preserve">              </w:t>
      </w:r>
    </w:p>
    <w:p w14:paraId="3AA79170">
      <w:pPr>
        <w:pageBreakBefore w:val="0"/>
        <w:kinsoku/>
        <w:overflowPunct/>
        <w:topLinePunct w:val="0"/>
        <w:bidi w:val="0"/>
        <w:spacing w:line="360" w:lineRule="auto"/>
        <w:ind w:left="0" w:leftChars="0" w:right="0" w:rightChars="0" w:firstLine="4228" w:firstLineChars="1762"/>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联系电话：</w:t>
      </w:r>
      <w:r>
        <w:rPr>
          <w:rFonts w:hint="eastAsia" w:asciiTheme="minorEastAsia" w:hAnsiTheme="minorEastAsia" w:eastAsiaTheme="minorEastAsia" w:cstheme="minorEastAsia"/>
          <w:color w:val="auto"/>
          <w:sz w:val="24"/>
          <w:highlight w:val="none"/>
          <w:u w:val="single"/>
        </w:rPr>
        <w:t xml:space="preserve">              </w:t>
      </w:r>
    </w:p>
    <w:p w14:paraId="3ABE9F09">
      <w:pPr>
        <w:pageBreakBefore w:val="0"/>
        <w:tabs>
          <w:tab w:val="left" w:pos="630"/>
        </w:tabs>
        <w:kinsoku/>
        <w:overflowPunct/>
        <w:topLinePunct w:val="0"/>
        <w:bidi w:val="0"/>
        <w:spacing w:line="360" w:lineRule="auto"/>
        <w:ind w:left="0" w:leftChars="0" w:right="0" w:rightChars="0" w:firstLine="4228" w:firstLineChars="1762"/>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35F42222">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b/>
          <w:bCs/>
          <w:color w:val="auto"/>
          <w:sz w:val="32"/>
          <w:szCs w:val="44"/>
          <w:highlight w:val="none"/>
        </w:rPr>
      </w:pPr>
      <w:r>
        <w:rPr>
          <w:rFonts w:hint="eastAsia" w:asciiTheme="minorEastAsia" w:hAnsiTheme="minorEastAsia" w:eastAsiaTheme="minorEastAsia" w:cstheme="minorEastAsia"/>
          <w:b/>
          <w:bCs/>
          <w:color w:val="auto"/>
          <w:sz w:val="32"/>
          <w:szCs w:val="44"/>
          <w:highlight w:val="none"/>
        </w:rPr>
        <w:br w:type="page"/>
      </w:r>
    </w:p>
    <w:p w14:paraId="21FDB09D">
      <w:pPr>
        <w:pageBreakBefore w:val="0"/>
        <w:kinsoku/>
        <w:overflowPunct/>
        <w:topLinePunct w:val="0"/>
        <w:bidi w:val="0"/>
        <w:spacing w:line="360" w:lineRule="auto"/>
        <w:ind w:left="0" w:leftChars="0" w:right="0" w:rightChars="0"/>
        <w:jc w:val="center"/>
        <w:textAlignment w:val="auto"/>
        <w:outlineLvl w:val="1"/>
        <w:rPr>
          <w:rFonts w:hint="eastAsia" w:asciiTheme="minorEastAsia" w:hAnsiTheme="minorEastAsia" w:eastAsiaTheme="minorEastAsia" w:cstheme="minorEastAsia"/>
          <w:b/>
          <w:bCs/>
          <w:color w:val="auto"/>
          <w:sz w:val="32"/>
          <w:szCs w:val="44"/>
          <w:highlight w:val="none"/>
        </w:rPr>
      </w:pPr>
      <w:bookmarkStart w:id="356" w:name="_Toc20279"/>
      <w:bookmarkStart w:id="357" w:name="_Toc5558"/>
      <w:bookmarkStart w:id="358" w:name="_Toc3245"/>
      <w:bookmarkStart w:id="359" w:name="_Toc31384"/>
      <w:bookmarkStart w:id="360" w:name="_Toc1575"/>
      <w:r>
        <w:rPr>
          <w:rFonts w:hint="eastAsia" w:asciiTheme="minorEastAsia" w:hAnsiTheme="minorEastAsia" w:eastAsiaTheme="minorEastAsia" w:cstheme="minorEastAsia"/>
          <w:b/>
          <w:bCs/>
          <w:color w:val="auto"/>
          <w:sz w:val="32"/>
          <w:szCs w:val="44"/>
          <w:highlight w:val="none"/>
        </w:rPr>
        <w:t>质疑函范本</w:t>
      </w:r>
      <w:bookmarkEnd w:id="356"/>
      <w:bookmarkEnd w:id="357"/>
      <w:bookmarkEnd w:id="358"/>
      <w:bookmarkEnd w:id="359"/>
      <w:bookmarkEnd w:id="360"/>
    </w:p>
    <w:p w14:paraId="5E379600">
      <w:pPr>
        <w:pageBreakBefore w:val="0"/>
        <w:kinsoku/>
        <w:overflowPunct/>
        <w:topLinePunct w:val="0"/>
        <w:bidi w:val="0"/>
        <w:adjustRightInd w:val="0"/>
        <w:snapToGrid w:val="0"/>
        <w:spacing w:line="360" w:lineRule="auto"/>
        <w:ind w:left="0" w:leftChars="0" w:right="0" w:rightChars="0"/>
        <w:textAlignment w:val="auto"/>
        <w:outlineLvl w:val="9"/>
        <w:rPr>
          <w:rFonts w:hint="eastAsia" w:asciiTheme="minorEastAsia" w:hAnsiTheme="minorEastAsia" w:eastAsiaTheme="minorEastAsia" w:cstheme="minorEastAsia"/>
          <w:b/>
          <w:bCs/>
          <w:color w:val="auto"/>
          <w:sz w:val="24"/>
          <w:szCs w:val="24"/>
          <w:highlight w:val="none"/>
        </w:rPr>
      </w:pPr>
      <w:bookmarkStart w:id="361" w:name="_Toc21381"/>
      <w:r>
        <w:rPr>
          <w:rFonts w:hint="eastAsia" w:asciiTheme="minorEastAsia" w:hAnsiTheme="minorEastAsia" w:eastAsiaTheme="minorEastAsia" w:cstheme="minorEastAsia"/>
          <w:b/>
          <w:bCs/>
          <w:color w:val="auto"/>
          <w:sz w:val="24"/>
          <w:szCs w:val="24"/>
          <w:highlight w:val="none"/>
        </w:rPr>
        <w:t>一、质疑供应商基本信息</w:t>
      </w:r>
      <w:bookmarkEnd w:id="361"/>
    </w:p>
    <w:p w14:paraId="11231D6A">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质疑供应商：</w:t>
      </w:r>
      <w:r>
        <w:rPr>
          <w:rFonts w:hint="eastAsia" w:asciiTheme="minorEastAsia" w:hAnsiTheme="minorEastAsia" w:eastAsiaTheme="minorEastAsia" w:cstheme="minorEastAsia"/>
          <w:color w:val="auto"/>
          <w:sz w:val="24"/>
          <w:szCs w:val="24"/>
          <w:highlight w:val="none"/>
          <w:u w:val="dotted"/>
        </w:rPr>
        <w:t xml:space="preserve">                                        </w:t>
      </w:r>
    </w:p>
    <w:p w14:paraId="060AC2B9">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dotted"/>
        </w:rPr>
        <w:t xml:space="preserve">                                 </w:t>
      </w:r>
    </w:p>
    <w:p w14:paraId="3272BEC0">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dotted"/>
        </w:rPr>
        <w:t xml:space="preserve">                              </w:t>
      </w:r>
    </w:p>
    <w:p w14:paraId="07E4C35E">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授权代表：</w:t>
      </w:r>
      <w:r>
        <w:rPr>
          <w:rFonts w:hint="eastAsia" w:asciiTheme="minorEastAsia" w:hAnsiTheme="minorEastAsia" w:eastAsiaTheme="minorEastAsia" w:cstheme="minorEastAsia"/>
          <w:color w:val="auto"/>
          <w:sz w:val="24"/>
          <w:szCs w:val="24"/>
          <w:highlight w:val="none"/>
          <w:u w:val="dotted"/>
        </w:rPr>
        <w:t xml:space="preserve">                                          </w:t>
      </w:r>
    </w:p>
    <w:p w14:paraId="41AE5D3E">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 xml:space="preserve"> </w:t>
      </w:r>
    </w:p>
    <w:p w14:paraId="4EA0C86D">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地址： </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邮编：</w:t>
      </w:r>
      <w:r>
        <w:rPr>
          <w:rFonts w:hint="eastAsia" w:asciiTheme="minorEastAsia" w:hAnsiTheme="minorEastAsia" w:eastAsiaTheme="minorEastAsia" w:cstheme="minorEastAsia"/>
          <w:color w:val="auto"/>
          <w:sz w:val="24"/>
          <w:szCs w:val="24"/>
          <w:highlight w:val="none"/>
          <w:u w:val="dotted"/>
        </w:rPr>
        <w:t xml:space="preserve">                                   </w:t>
      </w:r>
    </w:p>
    <w:p w14:paraId="3676ECBE">
      <w:pPr>
        <w:pageBreakBefore w:val="0"/>
        <w:kinsoku/>
        <w:overflowPunct/>
        <w:topLinePunct w:val="0"/>
        <w:bidi w:val="0"/>
        <w:adjustRightInd w:val="0"/>
        <w:snapToGrid w:val="0"/>
        <w:spacing w:line="360" w:lineRule="auto"/>
        <w:ind w:left="0" w:leftChars="0" w:right="0" w:rightChars="0"/>
        <w:textAlignment w:val="auto"/>
        <w:outlineLvl w:val="9"/>
        <w:rPr>
          <w:rFonts w:hint="eastAsia" w:asciiTheme="minorEastAsia" w:hAnsiTheme="minorEastAsia" w:eastAsiaTheme="minorEastAsia" w:cstheme="minorEastAsia"/>
          <w:b/>
          <w:bCs/>
          <w:color w:val="auto"/>
          <w:sz w:val="24"/>
          <w:szCs w:val="24"/>
          <w:highlight w:val="none"/>
        </w:rPr>
      </w:pPr>
      <w:bookmarkStart w:id="362" w:name="_Toc28415"/>
      <w:r>
        <w:rPr>
          <w:rFonts w:hint="eastAsia" w:asciiTheme="minorEastAsia" w:hAnsiTheme="minorEastAsia" w:eastAsiaTheme="minorEastAsia" w:cstheme="minorEastAsia"/>
          <w:b/>
          <w:bCs/>
          <w:color w:val="auto"/>
          <w:sz w:val="24"/>
          <w:szCs w:val="24"/>
          <w:highlight w:val="none"/>
        </w:rPr>
        <w:t>二、质疑项目基本情况</w:t>
      </w:r>
      <w:bookmarkEnd w:id="362"/>
    </w:p>
    <w:p w14:paraId="1DC47083">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质疑项目的名称：</w:t>
      </w:r>
      <w:r>
        <w:rPr>
          <w:rFonts w:hint="eastAsia" w:asciiTheme="minorEastAsia" w:hAnsiTheme="minorEastAsia" w:eastAsiaTheme="minorEastAsia" w:cstheme="minorEastAsia"/>
          <w:color w:val="auto"/>
          <w:sz w:val="24"/>
          <w:szCs w:val="24"/>
          <w:highlight w:val="none"/>
          <w:u w:val="dotted"/>
        </w:rPr>
        <w:t xml:space="preserve">                                      </w:t>
      </w:r>
    </w:p>
    <w:p w14:paraId="4FF1ED3F">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质疑项目的编号：</w:t>
      </w:r>
      <w:r>
        <w:rPr>
          <w:rFonts w:hint="eastAsia" w:asciiTheme="minorEastAsia" w:hAnsiTheme="minorEastAsia" w:eastAsiaTheme="minorEastAsia" w:cstheme="minorEastAsia"/>
          <w:color w:val="auto"/>
          <w:sz w:val="24"/>
          <w:szCs w:val="24"/>
          <w:highlight w:val="none"/>
          <w:u w:val="dotted"/>
        </w:rPr>
        <w:t xml:space="preserve">               </w:t>
      </w:r>
      <w:r>
        <w:rPr>
          <w:rFonts w:hint="eastAsia" w:asciiTheme="minorEastAsia" w:hAnsiTheme="minorEastAsia" w:eastAsiaTheme="minorEastAsia" w:cstheme="minorEastAsia"/>
          <w:color w:val="auto"/>
          <w:sz w:val="24"/>
          <w:szCs w:val="24"/>
          <w:highlight w:val="none"/>
        </w:rPr>
        <w:t>包号：</w:t>
      </w:r>
      <w:r>
        <w:rPr>
          <w:rFonts w:hint="eastAsia" w:asciiTheme="minorEastAsia" w:hAnsiTheme="minorEastAsia" w:eastAsiaTheme="minorEastAsia" w:cstheme="minorEastAsia"/>
          <w:color w:val="auto"/>
          <w:sz w:val="24"/>
          <w:szCs w:val="24"/>
          <w:highlight w:val="none"/>
          <w:u w:val="dotted"/>
        </w:rPr>
        <w:t xml:space="preserve">                 </w:t>
      </w:r>
    </w:p>
    <w:p w14:paraId="594944B2">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dotted"/>
        </w:rPr>
        <w:t xml:space="preserve">                                         </w:t>
      </w:r>
    </w:p>
    <w:p w14:paraId="0B7B978A">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采购文件获取日期：</w:t>
      </w:r>
      <w:r>
        <w:rPr>
          <w:rFonts w:hint="eastAsia" w:asciiTheme="minorEastAsia" w:hAnsiTheme="minorEastAsia" w:eastAsiaTheme="minorEastAsia" w:cstheme="minorEastAsia"/>
          <w:color w:val="auto"/>
          <w:sz w:val="24"/>
          <w:szCs w:val="24"/>
          <w:highlight w:val="none"/>
          <w:u w:val="dotted"/>
        </w:rPr>
        <w:t xml:space="preserve">                                           </w:t>
      </w:r>
    </w:p>
    <w:p w14:paraId="60509D07">
      <w:pPr>
        <w:pageBreakBefore w:val="0"/>
        <w:kinsoku/>
        <w:overflowPunct/>
        <w:topLinePunct w:val="0"/>
        <w:bidi w:val="0"/>
        <w:adjustRightInd w:val="0"/>
        <w:snapToGrid w:val="0"/>
        <w:spacing w:line="360" w:lineRule="auto"/>
        <w:ind w:left="0" w:leftChars="0" w:right="0" w:rightChars="0"/>
        <w:textAlignment w:val="auto"/>
        <w:outlineLvl w:val="9"/>
        <w:rPr>
          <w:rFonts w:hint="eastAsia" w:asciiTheme="minorEastAsia" w:hAnsiTheme="minorEastAsia" w:eastAsiaTheme="minorEastAsia" w:cstheme="minorEastAsia"/>
          <w:b/>
          <w:bCs/>
          <w:color w:val="auto"/>
          <w:sz w:val="24"/>
          <w:szCs w:val="24"/>
          <w:highlight w:val="none"/>
        </w:rPr>
      </w:pPr>
      <w:bookmarkStart w:id="363" w:name="_Toc19014"/>
      <w:r>
        <w:rPr>
          <w:rFonts w:hint="eastAsia" w:asciiTheme="minorEastAsia" w:hAnsiTheme="minorEastAsia" w:eastAsiaTheme="minorEastAsia" w:cstheme="minorEastAsia"/>
          <w:b/>
          <w:bCs/>
          <w:color w:val="auto"/>
          <w:sz w:val="24"/>
          <w:szCs w:val="24"/>
          <w:highlight w:val="none"/>
        </w:rPr>
        <w:t>三、质疑事项具体内容</w:t>
      </w:r>
      <w:bookmarkEnd w:id="363"/>
    </w:p>
    <w:p w14:paraId="5D24BC2E">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color w:val="auto"/>
          <w:sz w:val="24"/>
          <w:szCs w:val="24"/>
          <w:highlight w:val="none"/>
          <w:u w:val="dotted"/>
        </w:rPr>
        <w:t xml:space="preserve">                                         </w:t>
      </w:r>
    </w:p>
    <w:p w14:paraId="1BE5E0CA">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dotted"/>
        </w:rPr>
        <w:t xml:space="preserve">                                          </w:t>
      </w:r>
    </w:p>
    <w:p w14:paraId="5FFB1CE4">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u w:val="dotted"/>
        </w:rPr>
        <w:t xml:space="preserve">                                                       </w:t>
      </w:r>
    </w:p>
    <w:p w14:paraId="5DCF650E">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dotted"/>
        </w:rPr>
        <w:t xml:space="preserve">                                          </w:t>
      </w:r>
    </w:p>
    <w:p w14:paraId="72CC36BF">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u w:val="dotted"/>
        </w:rPr>
        <w:t xml:space="preserve">                                                     </w:t>
      </w:r>
    </w:p>
    <w:p w14:paraId="5BA89FC1">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质疑事项2</w:t>
      </w:r>
    </w:p>
    <w:p w14:paraId="022DE9C7">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769F3078">
      <w:pPr>
        <w:pageBreakBefore w:val="0"/>
        <w:kinsoku/>
        <w:overflowPunct/>
        <w:topLinePunct w:val="0"/>
        <w:bidi w:val="0"/>
        <w:adjustRightInd w:val="0"/>
        <w:snapToGrid w:val="0"/>
        <w:spacing w:line="360" w:lineRule="auto"/>
        <w:ind w:left="0" w:leftChars="0" w:right="0" w:rightChars="0"/>
        <w:textAlignment w:val="auto"/>
        <w:outlineLvl w:val="9"/>
        <w:rPr>
          <w:rFonts w:hint="eastAsia" w:asciiTheme="minorEastAsia" w:hAnsiTheme="minorEastAsia" w:eastAsiaTheme="minorEastAsia" w:cstheme="minorEastAsia"/>
          <w:b/>
          <w:bCs/>
          <w:color w:val="auto"/>
          <w:sz w:val="24"/>
          <w:szCs w:val="24"/>
          <w:highlight w:val="none"/>
        </w:rPr>
      </w:pPr>
      <w:bookmarkStart w:id="364" w:name="_Toc17919"/>
      <w:r>
        <w:rPr>
          <w:rFonts w:hint="eastAsia" w:asciiTheme="minorEastAsia" w:hAnsiTheme="minorEastAsia" w:eastAsiaTheme="minorEastAsia" w:cstheme="minorEastAsia"/>
          <w:b/>
          <w:bCs/>
          <w:color w:val="auto"/>
          <w:sz w:val="24"/>
          <w:szCs w:val="24"/>
          <w:highlight w:val="none"/>
        </w:rPr>
        <w:t>四、与质疑事项相关的质疑请求</w:t>
      </w:r>
      <w:bookmarkEnd w:id="364"/>
    </w:p>
    <w:p w14:paraId="31B406EB">
      <w:pPr>
        <w:pageBreakBefore w:val="0"/>
        <w:kinsoku/>
        <w:overflowPunct/>
        <w:topLinePunct w:val="0"/>
        <w:bidi w:val="0"/>
        <w:adjustRightInd w:val="0"/>
        <w:snapToGrid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u w:val="dotted"/>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dotted"/>
        </w:rPr>
        <w:t xml:space="preserve">                                               </w:t>
      </w:r>
    </w:p>
    <w:p w14:paraId="56D7981C">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签字(签章)：                   公章：                      </w:t>
      </w:r>
    </w:p>
    <w:p w14:paraId="3FB78E48">
      <w:pPr>
        <w:pageBreakBefore w:val="0"/>
        <w:kinsoku/>
        <w:overflowPunct/>
        <w:topLinePunct w:val="0"/>
        <w:bidi w:val="0"/>
        <w:spacing w:line="360" w:lineRule="auto"/>
        <w:ind w:left="0" w:leftChars="0" w:right="0" w:rightChars="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日期：    </w:t>
      </w:r>
    </w:p>
    <w:p w14:paraId="0B45D37F">
      <w:pPr>
        <w:pageBreakBefore w:val="0"/>
        <w:widowControl/>
        <w:kinsoku/>
        <w:overflowPunct/>
        <w:topLinePunct w:val="0"/>
        <w:bidi w:val="0"/>
        <w:spacing w:line="360" w:lineRule="auto"/>
        <w:ind w:left="0" w:leftChars="0" w:right="0" w:rightChars="0"/>
        <w:jc w:val="left"/>
        <w:textAlignment w:val="auto"/>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br w:type="page"/>
      </w:r>
    </w:p>
    <w:p w14:paraId="70ED27D0">
      <w:pPr>
        <w:pageBreakBefore w:val="0"/>
        <w:kinsoku/>
        <w:overflowPunct/>
        <w:topLinePunct w:val="0"/>
        <w:bidi w:val="0"/>
        <w:spacing w:line="360" w:lineRule="auto"/>
        <w:ind w:left="0" w:leftChars="0" w:right="0" w:rightChars="0"/>
        <w:textAlignment w:val="auto"/>
        <w:outlineLvl w:val="1"/>
        <w:rPr>
          <w:rFonts w:hint="eastAsia" w:asciiTheme="minorEastAsia" w:hAnsiTheme="minorEastAsia" w:eastAsiaTheme="minorEastAsia" w:cstheme="minorEastAsia"/>
          <w:b/>
          <w:color w:val="auto"/>
          <w:sz w:val="28"/>
          <w:szCs w:val="32"/>
          <w:highlight w:val="none"/>
        </w:rPr>
      </w:pPr>
      <w:bookmarkStart w:id="365" w:name="_Toc29172"/>
      <w:bookmarkStart w:id="366" w:name="_Toc28713"/>
      <w:bookmarkStart w:id="367" w:name="_Toc11174"/>
      <w:bookmarkStart w:id="368" w:name="_Toc17322"/>
      <w:bookmarkStart w:id="369" w:name="_Toc26836"/>
      <w:bookmarkStart w:id="370" w:name="_Toc9754"/>
      <w:bookmarkStart w:id="371" w:name="_Toc18351"/>
      <w:r>
        <w:rPr>
          <w:rFonts w:hint="eastAsia" w:asciiTheme="minorEastAsia" w:hAnsiTheme="minorEastAsia" w:eastAsiaTheme="minorEastAsia" w:cstheme="minorEastAsia"/>
          <w:b/>
          <w:color w:val="auto"/>
          <w:sz w:val="28"/>
          <w:szCs w:val="32"/>
          <w:highlight w:val="none"/>
        </w:rPr>
        <w:t>质疑函制作说明：</w:t>
      </w:r>
      <w:bookmarkEnd w:id="365"/>
      <w:bookmarkEnd w:id="366"/>
      <w:bookmarkEnd w:id="367"/>
      <w:bookmarkEnd w:id="368"/>
      <w:bookmarkEnd w:id="369"/>
      <w:bookmarkEnd w:id="370"/>
      <w:bookmarkEnd w:id="371"/>
    </w:p>
    <w:p w14:paraId="5D48119E">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1.供应商提出质疑时，应提交质疑函和必要的证明材料。</w:t>
      </w:r>
    </w:p>
    <w:p w14:paraId="662FEFF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03C9F8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3.质疑供应商若对项目的某一分包进行质疑，质疑函中应列明具体分包号。</w:t>
      </w:r>
    </w:p>
    <w:p w14:paraId="2ADB4E5D">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4.质疑函的质疑事项应具体、明确，并有必要的事实依据和法律依据。</w:t>
      </w:r>
    </w:p>
    <w:p w14:paraId="7E0B9A8F">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5.质疑函的质疑请求应与质疑事项相关。</w:t>
      </w:r>
    </w:p>
    <w:p w14:paraId="7CA36564">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913A460">
      <w:pPr>
        <w:pageBreakBefore w:val="0"/>
        <w:kinsoku/>
        <w:overflowPunct/>
        <w:topLinePunct w:val="0"/>
        <w:bidi w:val="0"/>
        <w:spacing w:line="360" w:lineRule="auto"/>
        <w:ind w:left="0" w:leftChars="0" w:right="0" w:rightChars="0" w:firstLine="435"/>
        <w:textAlignment w:val="auto"/>
        <w:rPr>
          <w:rFonts w:hint="eastAsia" w:asciiTheme="minorEastAsia" w:hAnsiTheme="minorEastAsia" w:eastAsiaTheme="minorEastAsia" w:cstheme="minorEastAsia"/>
          <w:color w:val="auto"/>
          <w:sz w:val="24"/>
          <w:highlight w:val="none"/>
        </w:rPr>
      </w:pPr>
    </w:p>
    <w:p w14:paraId="22BB2391"/>
    <w:sectPr>
      <w:footerReference r:id="rId5" w:type="default"/>
      <w:pgSz w:w="11905" w:h="16838"/>
      <w:pgMar w:top="1417" w:right="1417" w:bottom="1417" w:left="1417" w:header="850" w:footer="992" w:gutter="0"/>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A730E">
    <w:pPr>
      <w:pStyle w:val="9"/>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5F506">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6752C">
                          <w:pPr>
                            <w:pStyle w:val="9"/>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846752C">
                    <w:pPr>
                      <w:pStyle w:val="9"/>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7F77F">
    <w:pPr>
      <w:pStyle w:val="10"/>
      <w:jc w:val="left"/>
      <w:rPr>
        <w:rFonts w:asciiTheme="minorEastAsia" w:hAnsiTheme="minorEastAsia" w:eastAsiaTheme="minorEastAsia"/>
      </w:rPr>
    </w:pPr>
    <w:r>
      <w:rPr>
        <w:rFonts w:hint="eastAsia" w:asciiTheme="minorEastAsia" w:hAnsiTheme="minorEastAsia" w:eastAsiaTheme="minorEastAsia"/>
        <w:lang w:eastAsia="zh-CN"/>
      </w:rPr>
      <w:t>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AEADF0"/>
    <w:multiLevelType w:val="singleLevel"/>
    <w:tmpl w:val="A4AEADF0"/>
    <w:lvl w:ilvl="0" w:tentative="0">
      <w:start w:val="1"/>
      <w:numFmt w:val="decimal"/>
      <w:suff w:val="nothing"/>
      <w:lvlText w:val="（%1）"/>
      <w:lvlJc w:val="left"/>
    </w:lvl>
  </w:abstractNum>
  <w:abstractNum w:abstractNumId="1">
    <w:nsid w:val="A52D7E8C"/>
    <w:multiLevelType w:val="singleLevel"/>
    <w:tmpl w:val="A52D7E8C"/>
    <w:lvl w:ilvl="0" w:tentative="0">
      <w:start w:val="1"/>
      <w:numFmt w:val="decimal"/>
      <w:suff w:val="nothing"/>
      <w:lvlText w:val="（%1）"/>
      <w:lvlJc w:val="left"/>
    </w:lvl>
  </w:abstractNum>
  <w:abstractNum w:abstractNumId="2">
    <w:nsid w:val="C0D7AC86"/>
    <w:multiLevelType w:val="singleLevel"/>
    <w:tmpl w:val="C0D7AC86"/>
    <w:lvl w:ilvl="0" w:tentative="0">
      <w:start w:val="5"/>
      <w:numFmt w:val="chineseCounting"/>
      <w:suff w:val="nothing"/>
      <w:lvlText w:val="%1、"/>
      <w:lvlJc w:val="left"/>
      <w:rPr>
        <w:rFonts w:hint="eastAsia"/>
      </w:rPr>
    </w:lvl>
  </w:abstractNum>
  <w:abstractNum w:abstractNumId="3">
    <w:nsid w:val="2621EAC8"/>
    <w:multiLevelType w:val="singleLevel"/>
    <w:tmpl w:val="2621EAC8"/>
    <w:lvl w:ilvl="0" w:tentative="0">
      <w:start w:val="1"/>
      <w:numFmt w:val="decimal"/>
      <w:suff w:val="nothing"/>
      <w:lvlText w:val="（%1）"/>
      <w:lvlJc w:val="left"/>
    </w:lvl>
  </w:abstractNum>
  <w:abstractNum w:abstractNumId="4">
    <w:nsid w:val="4301A819"/>
    <w:multiLevelType w:val="singleLevel"/>
    <w:tmpl w:val="4301A819"/>
    <w:lvl w:ilvl="0" w:tentative="0">
      <w:start w:val="1"/>
      <w:numFmt w:val="decimal"/>
      <w:suff w:val="nothing"/>
      <w:lvlText w:val="（%1）"/>
      <w:lvlJc w:val="left"/>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F69A6"/>
    <w:rsid w:val="01A85D51"/>
    <w:rsid w:val="0295339B"/>
    <w:rsid w:val="03012553"/>
    <w:rsid w:val="0663596F"/>
    <w:rsid w:val="06A765D7"/>
    <w:rsid w:val="07BE5732"/>
    <w:rsid w:val="087B2722"/>
    <w:rsid w:val="08D96AE4"/>
    <w:rsid w:val="0A9C33D3"/>
    <w:rsid w:val="0CFD33F5"/>
    <w:rsid w:val="13B22849"/>
    <w:rsid w:val="15082937"/>
    <w:rsid w:val="15354668"/>
    <w:rsid w:val="16F30969"/>
    <w:rsid w:val="193752FE"/>
    <w:rsid w:val="207215AC"/>
    <w:rsid w:val="20F52B2C"/>
    <w:rsid w:val="25145328"/>
    <w:rsid w:val="25893E3C"/>
    <w:rsid w:val="263C68E5"/>
    <w:rsid w:val="28185E93"/>
    <w:rsid w:val="29B13005"/>
    <w:rsid w:val="2A964E4B"/>
    <w:rsid w:val="2AC860B7"/>
    <w:rsid w:val="2BC37160"/>
    <w:rsid w:val="2CB754F4"/>
    <w:rsid w:val="2CD86DED"/>
    <w:rsid w:val="2DAA1400"/>
    <w:rsid w:val="2DFF746D"/>
    <w:rsid w:val="2E227124"/>
    <w:rsid w:val="2ED0766D"/>
    <w:rsid w:val="2FBC62A5"/>
    <w:rsid w:val="30180474"/>
    <w:rsid w:val="329740FB"/>
    <w:rsid w:val="329B2BE5"/>
    <w:rsid w:val="3372324D"/>
    <w:rsid w:val="33C4414A"/>
    <w:rsid w:val="34F76A97"/>
    <w:rsid w:val="37205599"/>
    <w:rsid w:val="37EF7CBE"/>
    <w:rsid w:val="380E5220"/>
    <w:rsid w:val="39490815"/>
    <w:rsid w:val="39743AD8"/>
    <w:rsid w:val="39F41A62"/>
    <w:rsid w:val="3B933A7E"/>
    <w:rsid w:val="3C091F84"/>
    <w:rsid w:val="3CCA65A0"/>
    <w:rsid w:val="3D2008B6"/>
    <w:rsid w:val="3EDD0F49"/>
    <w:rsid w:val="3FC90A4E"/>
    <w:rsid w:val="3FEC2687"/>
    <w:rsid w:val="40773E6C"/>
    <w:rsid w:val="408F63B2"/>
    <w:rsid w:val="42240D1B"/>
    <w:rsid w:val="43291B47"/>
    <w:rsid w:val="44A91178"/>
    <w:rsid w:val="45307E07"/>
    <w:rsid w:val="48020765"/>
    <w:rsid w:val="4A884657"/>
    <w:rsid w:val="4AA36A9E"/>
    <w:rsid w:val="4B4B3957"/>
    <w:rsid w:val="4BD80803"/>
    <w:rsid w:val="4C4528F7"/>
    <w:rsid w:val="4E643C95"/>
    <w:rsid w:val="4EEA45C7"/>
    <w:rsid w:val="508806F3"/>
    <w:rsid w:val="50E7551B"/>
    <w:rsid w:val="51477D68"/>
    <w:rsid w:val="52B14033"/>
    <w:rsid w:val="56C0247C"/>
    <w:rsid w:val="57AA1051"/>
    <w:rsid w:val="5A10407F"/>
    <w:rsid w:val="5A5519F7"/>
    <w:rsid w:val="5AEE74A6"/>
    <w:rsid w:val="5B3C2FBB"/>
    <w:rsid w:val="5EC37CAF"/>
    <w:rsid w:val="608A7C71"/>
    <w:rsid w:val="609123F9"/>
    <w:rsid w:val="60BB679D"/>
    <w:rsid w:val="61D5545D"/>
    <w:rsid w:val="624F5CF6"/>
    <w:rsid w:val="68DA4684"/>
    <w:rsid w:val="6A6869A1"/>
    <w:rsid w:val="6CB56076"/>
    <w:rsid w:val="6DC36F14"/>
    <w:rsid w:val="6E60505E"/>
    <w:rsid w:val="70DB0F9C"/>
    <w:rsid w:val="722B5F99"/>
    <w:rsid w:val="7233543C"/>
    <w:rsid w:val="7423420D"/>
    <w:rsid w:val="76351AB1"/>
    <w:rsid w:val="78BE7CD2"/>
    <w:rsid w:val="78FB6795"/>
    <w:rsid w:val="795C539C"/>
    <w:rsid w:val="79680F38"/>
    <w:rsid w:val="7A4A7EBB"/>
    <w:rsid w:val="7D6435BC"/>
    <w:rsid w:val="7D9D0B8C"/>
    <w:rsid w:val="7FB32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0"/>
    <w:pPr>
      <w:keepNext/>
      <w:keepLines/>
      <w:spacing w:before="260" w:after="260" w:line="415" w:lineRule="auto"/>
      <w:outlineLvl w:val="1"/>
    </w:pPr>
    <w:rPr>
      <w:rFonts w:ascii="Arial" w:hAnsi="Arial" w:eastAsia="黑体" w:cs="Arial"/>
      <w:b/>
      <w:bCs/>
      <w:sz w:val="32"/>
      <w:szCs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rFonts w:ascii="Arial" w:hAnsi="Arial" w:eastAsia="黑体" w:cs="Arial"/>
    </w:rPr>
  </w:style>
  <w:style w:type="paragraph" w:styleId="5">
    <w:name w:val="Body Text"/>
    <w:basedOn w:val="1"/>
    <w:qFormat/>
    <w:uiPriority w:val="0"/>
    <w:pPr>
      <w:spacing w:after="120"/>
    </w:pPr>
    <w:rPr>
      <w:rFonts w:ascii="@微软简标宋" w:hAnsi="@微软简标宋" w:eastAsia="@微软简标宋" w:cs="@微软简标宋"/>
      <w:szCs w:val="24"/>
      <w:lang w:val="zh-CN"/>
    </w:rPr>
  </w:style>
  <w:style w:type="paragraph" w:styleId="6">
    <w:name w:val="Body Text Indent"/>
    <w:basedOn w:val="1"/>
    <w:qFormat/>
    <w:uiPriority w:val="0"/>
    <w:pPr>
      <w:ind w:firstLine="560" w:firstLineChars="200"/>
    </w:pPr>
    <w:rPr>
      <w:rFonts w:hAnsi="宋体"/>
      <w:bCs/>
      <w:sz w:val="28"/>
      <w:szCs w:val="32"/>
    </w:rPr>
  </w:style>
  <w:style w:type="paragraph" w:styleId="7">
    <w:name w:val="Plain Text"/>
    <w:basedOn w:val="1"/>
    <w:qFormat/>
    <w:uiPriority w:val="99"/>
    <w:rPr>
      <w:rFonts w:ascii="宋体" w:hAnsi="Courier New" w:eastAsiaTheme="minorEastAsia" w:cstheme="minorBidi"/>
      <w:szCs w:val="22"/>
    </w:rPr>
  </w:style>
  <w:style w:type="paragraph" w:styleId="8">
    <w:name w:val="Date"/>
    <w:basedOn w:val="1"/>
    <w:next w:val="1"/>
    <w:qFormat/>
    <w:uiPriority w:val="0"/>
    <w:rPr>
      <w:rFonts w:ascii="Arial" w:hAnsi="Arial" w:eastAsia="宋体" w:cs="Arial"/>
      <w:b/>
      <w:sz w:val="2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index 1"/>
    <w:basedOn w:val="1"/>
    <w:next w:val="1"/>
    <w:qFormat/>
    <w:uiPriority w:val="0"/>
    <w:pPr>
      <w:jc w:val="center"/>
    </w:pPr>
    <w:rPr>
      <w:rFonts w:ascii="Arial" w:hAnsi="Arial" w:eastAsia="Arial" w:cs="Arial"/>
      <w:b/>
      <w:bCs/>
      <w:sz w:val="28"/>
    </w:rPr>
  </w:style>
  <w:style w:type="paragraph" w:styleId="14">
    <w:name w:val="Body Text First Indent 2"/>
    <w:basedOn w:val="6"/>
    <w:unhideWhenUsed/>
    <w:qFormat/>
    <w:uiPriority w:val="99"/>
    <w:pPr>
      <w:tabs>
        <w:tab w:val="left" w:pos="0"/>
        <w:tab w:val="left" w:pos="993"/>
        <w:tab w:val="left" w:pos="1134"/>
      </w:tabs>
      <w:ind w:firstLine="420"/>
    </w:pPr>
  </w:style>
  <w:style w:type="table" w:styleId="16">
    <w:name w:val="Table Grid"/>
    <w:basedOn w:val="1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Emphasis"/>
    <w:qFormat/>
    <w:uiPriority w:val="0"/>
    <w:rPr>
      <w:i/>
    </w:rPr>
  </w:style>
  <w:style w:type="character" w:customStyle="1" w:styleId="19">
    <w:name w:val="标题 1 字符"/>
    <w:basedOn w:val="17"/>
    <w:link w:val="2"/>
    <w:qFormat/>
    <w:uiPriority w:val="9"/>
    <w:rPr>
      <w:b/>
      <w:bCs/>
      <w:kern w:val="44"/>
      <w:sz w:val="44"/>
      <w:szCs w:val="44"/>
    </w:rPr>
  </w:style>
  <w:style w:type="paragraph" w:customStyle="1" w:styleId="20">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21">
    <w:name w:val="D&amp;L"/>
    <w:basedOn w:val="10"/>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22">
    <w:name w:val="标题 2 Char"/>
    <w:link w:val="3"/>
    <w:qFormat/>
    <w:uiPriority w:val="0"/>
    <w:rPr>
      <w:rFonts w:ascii="Arial" w:hAnsi="Arial" w:eastAsia="黑体" w:cs="Arial"/>
      <w:b/>
      <w:bCs/>
      <w:sz w:val="32"/>
      <w:szCs w:val="32"/>
    </w:rPr>
  </w:style>
  <w:style w:type="paragraph" w:customStyle="1" w:styleId="23">
    <w:name w:val="Char Char Char Char Char Char Char1 Char"/>
    <w:basedOn w:val="1"/>
    <w:autoRedefine/>
    <w:qFormat/>
    <w:uiPriority w:val="0"/>
    <w:rPr>
      <w:rFonts w:ascii="Arial" w:hAnsi="Arial" w:eastAsia="宋体" w:cs="Arial"/>
      <w:sz w:val="24"/>
    </w:rPr>
  </w:style>
  <w:style w:type="table" w:customStyle="1" w:styleId="24">
    <w:name w:val="Table Normal"/>
    <w:autoRedefine/>
    <w:semiHidden/>
    <w:unhideWhenUsed/>
    <w:qFormat/>
    <w:uiPriority w:val="0"/>
    <w:tblPr>
      <w:tblCellMar>
        <w:top w:w="0" w:type="dxa"/>
        <w:left w:w="0" w:type="dxa"/>
        <w:bottom w:w="0" w:type="dxa"/>
        <w:right w:w="0" w:type="dxa"/>
      </w:tblCellMar>
    </w:tblPr>
  </w:style>
  <w:style w:type="paragraph" w:customStyle="1" w:styleId="25">
    <w:name w:val="Table Text"/>
    <w:basedOn w:val="1"/>
    <w:autoRedefine/>
    <w:semiHidden/>
    <w:qFormat/>
    <w:uiPriority w:val="0"/>
    <w:rPr>
      <w:rFonts w:ascii="Arial" w:hAnsi="Arial" w:eastAsia="Arial" w:cs="Arial"/>
      <w:sz w:val="21"/>
      <w:szCs w:val="21"/>
      <w:lang w:val="en-US" w:eastAsia="en-US" w:bidi="ar-SA"/>
    </w:rPr>
  </w:style>
  <w:style w:type="paragraph" w:customStyle="1" w:styleId="26">
    <w:name w:val="Table Paragraph"/>
    <w:basedOn w:val="1"/>
    <w:qFormat/>
    <w:uiPriority w:val="1"/>
    <w:pPr>
      <w:autoSpaceDE w:val="0"/>
      <w:autoSpaceDN w:val="0"/>
      <w:jc w:val="left"/>
    </w:pPr>
    <w:rPr>
      <w:rFonts w:ascii="宋体" w:hAnsi="宋体" w:eastAsia="宋体" w:cs="宋体"/>
      <w:kern w:val="0"/>
      <w:sz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2903</Words>
  <Characters>3267</Characters>
  <Lines>0</Lines>
  <Paragraphs>0</Paragraphs>
  <TotalTime>11</TotalTime>
  <ScaleCrop>false</ScaleCrop>
  <LinksUpToDate>false</LinksUpToDate>
  <CharactersWithSpaces>3387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2026-07-18T02:44:00Z</dcterms:created>
  <dc:creator>Administrator</dc:creator>
  <cp:lastModifiedBy>墨韵</cp:lastModifiedBy>
  <dcterms:modified xsi:type="dcterms:W3CDTF">2026-07-27T09:49:55Z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eyJoZGlkIjoiYTZjN2FiYWY4ZTEzZjZlMWVjOGI0MDEzMzZmNmE2OTciLCJ1c2VySWQiOiIxOTk0NTQxMTcifQ==</vt:lpwstr>
  </property>
  <property fmtid="{D5CDD505-2E9C-101B-9397-08002B2CF9AE}" pid="4" name="ICV">
    <vt:lpwstr>6F871395C6A24F7D9208ABE55577B40B_12</vt:lpwstr>
  </property>
</Properties>
</file>